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BC4" w:rsidRPr="00E038CB" w:rsidRDefault="00611267" w:rsidP="003D08BF">
      <w:pPr>
        <w:tabs>
          <w:tab w:val="left" w:pos="0"/>
        </w:tabs>
        <w:spacing w:after="0" w:line="276" w:lineRule="auto"/>
        <w:jc w:val="center"/>
        <w:rPr>
          <w:rFonts w:ascii="Sylfaen" w:hAnsi="Sylfaen"/>
          <w:b/>
          <w:sz w:val="24"/>
        </w:rPr>
      </w:pPr>
      <w:proofErr w:type="spellStart"/>
      <w:proofErr w:type="gramStart"/>
      <w:r w:rsidRPr="00E038CB">
        <w:rPr>
          <w:rFonts w:ascii="Sylfaen" w:hAnsi="Sylfaen"/>
          <w:b/>
          <w:sz w:val="24"/>
        </w:rPr>
        <w:t>ინფორმაცია</w:t>
      </w:r>
      <w:proofErr w:type="spellEnd"/>
      <w:proofErr w:type="gramEnd"/>
      <w:r w:rsidRPr="00E038CB">
        <w:rPr>
          <w:rFonts w:ascii="Sylfaen" w:hAnsi="Sylfaen"/>
          <w:b/>
          <w:sz w:val="24"/>
        </w:rPr>
        <w:t xml:space="preserve"> </w:t>
      </w:r>
    </w:p>
    <w:p w:rsidR="003D08BF" w:rsidRPr="00E038CB" w:rsidRDefault="00C64D86" w:rsidP="003D08BF">
      <w:pPr>
        <w:tabs>
          <w:tab w:val="left" w:pos="0"/>
        </w:tabs>
        <w:spacing w:after="0" w:line="276" w:lineRule="auto"/>
        <w:jc w:val="center"/>
        <w:rPr>
          <w:rFonts w:ascii="Sylfaen" w:hAnsi="Sylfaen"/>
          <w:b/>
        </w:rPr>
      </w:pPr>
      <w:r w:rsidRPr="00E038CB">
        <w:rPr>
          <w:rFonts w:ascii="Sylfaen" w:hAnsi="Sylfaen"/>
          <w:b/>
        </w:rPr>
        <w:t>„</w:t>
      </w:r>
      <w:proofErr w:type="spellStart"/>
      <w:r w:rsidRPr="00E038CB">
        <w:rPr>
          <w:rFonts w:ascii="Sylfaen" w:hAnsi="Sylfaen"/>
          <w:b/>
        </w:rPr>
        <w:t>საქართველოს</w:t>
      </w:r>
      <w:proofErr w:type="spellEnd"/>
      <w:r w:rsidR="00A822B0">
        <w:rPr>
          <w:rFonts w:ascii="Sylfaen" w:hAnsi="Sylfaen"/>
          <w:b/>
        </w:rPr>
        <w:t xml:space="preserve"> 2024</w:t>
      </w:r>
      <w:r w:rsidRPr="00E038CB">
        <w:rPr>
          <w:rFonts w:ascii="Sylfaen" w:hAnsi="Sylfaen"/>
          <w:b/>
        </w:rPr>
        <w:t xml:space="preserve"> </w:t>
      </w:r>
      <w:proofErr w:type="spellStart"/>
      <w:r w:rsidRPr="00E038CB">
        <w:rPr>
          <w:rFonts w:ascii="Sylfaen" w:hAnsi="Sylfaen"/>
          <w:b/>
        </w:rPr>
        <w:t>წლის</w:t>
      </w:r>
      <w:proofErr w:type="spellEnd"/>
      <w:r w:rsidRPr="00E038CB">
        <w:rPr>
          <w:rFonts w:ascii="Sylfaen" w:hAnsi="Sylfaen"/>
          <w:b/>
        </w:rPr>
        <w:t xml:space="preserve"> </w:t>
      </w:r>
      <w:proofErr w:type="spellStart"/>
      <w:r w:rsidRPr="00E038CB">
        <w:rPr>
          <w:rFonts w:ascii="Sylfaen" w:hAnsi="Sylfaen"/>
          <w:b/>
        </w:rPr>
        <w:t>სახელმწიფო</w:t>
      </w:r>
      <w:proofErr w:type="spellEnd"/>
      <w:r w:rsidRPr="00E038CB">
        <w:rPr>
          <w:rFonts w:ascii="Sylfaen" w:hAnsi="Sylfaen"/>
          <w:b/>
        </w:rPr>
        <w:t xml:space="preserve"> </w:t>
      </w:r>
      <w:proofErr w:type="spellStart"/>
      <w:r w:rsidRPr="00E038CB">
        <w:rPr>
          <w:rFonts w:ascii="Sylfaen" w:hAnsi="Sylfaen"/>
          <w:b/>
        </w:rPr>
        <w:t>ბიუჯეტის</w:t>
      </w:r>
      <w:proofErr w:type="spellEnd"/>
      <w:r w:rsidRPr="00E038CB">
        <w:rPr>
          <w:rFonts w:ascii="Sylfaen" w:hAnsi="Sylfaen"/>
          <w:b/>
        </w:rPr>
        <w:t xml:space="preserve"> </w:t>
      </w:r>
      <w:proofErr w:type="spellStart"/>
      <w:r w:rsidRPr="00E038CB">
        <w:rPr>
          <w:rFonts w:ascii="Sylfaen" w:hAnsi="Sylfaen"/>
          <w:b/>
        </w:rPr>
        <w:t>შესახებ</w:t>
      </w:r>
      <w:proofErr w:type="spellEnd"/>
      <w:r w:rsidRPr="00E038CB">
        <w:rPr>
          <w:rFonts w:ascii="Sylfaen" w:hAnsi="Sylfaen"/>
          <w:b/>
        </w:rPr>
        <w:t xml:space="preserve">“ </w:t>
      </w:r>
      <w:proofErr w:type="spellStart"/>
      <w:r w:rsidRPr="00E038CB">
        <w:rPr>
          <w:rFonts w:ascii="Sylfaen" w:hAnsi="Sylfaen"/>
          <w:b/>
        </w:rPr>
        <w:t>საქართველოს</w:t>
      </w:r>
      <w:proofErr w:type="spellEnd"/>
      <w:r w:rsidRPr="00E038CB">
        <w:rPr>
          <w:rFonts w:ascii="Sylfaen" w:hAnsi="Sylfaen"/>
          <w:b/>
        </w:rPr>
        <w:t xml:space="preserve"> </w:t>
      </w:r>
      <w:proofErr w:type="spellStart"/>
      <w:r w:rsidRPr="00E038CB">
        <w:rPr>
          <w:rFonts w:ascii="Sylfaen" w:hAnsi="Sylfaen"/>
          <w:b/>
        </w:rPr>
        <w:t>კანონის</w:t>
      </w:r>
      <w:proofErr w:type="spellEnd"/>
      <w:r w:rsidRPr="00E038CB">
        <w:rPr>
          <w:rFonts w:ascii="Sylfaen" w:hAnsi="Sylfaen"/>
          <w:b/>
        </w:rPr>
        <w:t xml:space="preserve"> </w:t>
      </w:r>
      <w:proofErr w:type="spellStart"/>
      <w:r w:rsidR="00052183" w:rsidRPr="00E038CB">
        <w:rPr>
          <w:rFonts w:ascii="Sylfaen" w:hAnsi="Sylfaen"/>
          <w:b/>
        </w:rPr>
        <w:t>პროექტის</w:t>
      </w:r>
      <w:proofErr w:type="spellEnd"/>
      <w:r w:rsidR="00403631">
        <w:rPr>
          <w:rFonts w:ascii="Sylfaen" w:hAnsi="Sylfaen"/>
          <w:b/>
        </w:rPr>
        <w:t xml:space="preserve"> </w:t>
      </w:r>
      <w:proofErr w:type="spellStart"/>
      <w:r w:rsidRPr="00E038CB">
        <w:rPr>
          <w:rFonts w:ascii="Sylfaen" w:hAnsi="Sylfaen"/>
          <w:b/>
        </w:rPr>
        <w:t>და</w:t>
      </w:r>
      <w:proofErr w:type="spellEnd"/>
      <w:r w:rsidRPr="00E038CB">
        <w:rPr>
          <w:rFonts w:ascii="Sylfaen" w:hAnsi="Sylfaen"/>
          <w:b/>
        </w:rPr>
        <w:t xml:space="preserve"> „</w:t>
      </w:r>
      <w:proofErr w:type="spellStart"/>
      <w:r w:rsidRPr="00E038CB">
        <w:rPr>
          <w:rFonts w:ascii="Sylfaen" w:hAnsi="Sylfaen"/>
          <w:b/>
        </w:rPr>
        <w:t>ქვეყნის</w:t>
      </w:r>
      <w:proofErr w:type="spellEnd"/>
      <w:r w:rsidRPr="00E038CB">
        <w:rPr>
          <w:rFonts w:ascii="Sylfaen" w:hAnsi="Sylfaen"/>
          <w:b/>
        </w:rPr>
        <w:t xml:space="preserve"> </w:t>
      </w:r>
      <w:proofErr w:type="spellStart"/>
      <w:r w:rsidRPr="00E038CB">
        <w:rPr>
          <w:rFonts w:ascii="Sylfaen" w:hAnsi="Sylfaen"/>
          <w:b/>
        </w:rPr>
        <w:t>ძირითადი</w:t>
      </w:r>
      <w:proofErr w:type="spellEnd"/>
      <w:r w:rsidRPr="00E038CB">
        <w:rPr>
          <w:rFonts w:ascii="Sylfaen" w:hAnsi="Sylfaen"/>
          <w:b/>
        </w:rPr>
        <w:t xml:space="preserve"> </w:t>
      </w:r>
      <w:proofErr w:type="spellStart"/>
      <w:r w:rsidRPr="00E038CB">
        <w:rPr>
          <w:rFonts w:ascii="Sylfaen" w:hAnsi="Sylfaen"/>
          <w:b/>
        </w:rPr>
        <w:t>მონაცემები</w:t>
      </w:r>
      <w:proofErr w:type="spellEnd"/>
      <w:r w:rsidR="00052183" w:rsidRPr="00E038CB">
        <w:rPr>
          <w:rFonts w:ascii="Sylfaen" w:hAnsi="Sylfaen"/>
          <w:b/>
        </w:rPr>
        <w:t xml:space="preserve"> </w:t>
      </w:r>
      <w:proofErr w:type="spellStart"/>
      <w:r w:rsidRPr="00E038CB">
        <w:rPr>
          <w:rFonts w:ascii="Sylfaen" w:hAnsi="Sylfaen"/>
          <w:b/>
        </w:rPr>
        <w:t>და</w:t>
      </w:r>
      <w:proofErr w:type="spellEnd"/>
      <w:r w:rsidRPr="00E038CB">
        <w:rPr>
          <w:rFonts w:ascii="Sylfaen" w:hAnsi="Sylfaen"/>
          <w:b/>
        </w:rPr>
        <w:t xml:space="preserve"> </w:t>
      </w:r>
      <w:proofErr w:type="spellStart"/>
      <w:r w:rsidRPr="00E038CB">
        <w:rPr>
          <w:rFonts w:ascii="Sylfaen" w:hAnsi="Sylfaen"/>
          <w:b/>
        </w:rPr>
        <w:t>მიმართულებები</w:t>
      </w:r>
      <w:proofErr w:type="spellEnd"/>
      <w:r w:rsidR="00A822B0">
        <w:rPr>
          <w:rFonts w:ascii="Sylfaen" w:hAnsi="Sylfaen"/>
          <w:b/>
        </w:rPr>
        <w:t xml:space="preserve"> 2024-2027</w:t>
      </w:r>
      <w:r w:rsidRPr="00E038CB">
        <w:rPr>
          <w:rFonts w:ascii="Sylfaen" w:hAnsi="Sylfaen"/>
          <w:b/>
        </w:rPr>
        <w:t xml:space="preserve"> </w:t>
      </w:r>
      <w:proofErr w:type="spellStart"/>
      <w:r w:rsidRPr="00E038CB">
        <w:rPr>
          <w:rFonts w:ascii="Sylfaen" w:hAnsi="Sylfaen"/>
          <w:b/>
        </w:rPr>
        <w:t>წლებისათვის</w:t>
      </w:r>
      <w:proofErr w:type="spellEnd"/>
      <w:r w:rsidRPr="00E038CB">
        <w:rPr>
          <w:rFonts w:ascii="Sylfaen" w:hAnsi="Sylfaen"/>
          <w:b/>
        </w:rPr>
        <w:t xml:space="preserve">“ </w:t>
      </w:r>
      <w:proofErr w:type="spellStart"/>
      <w:r w:rsidRPr="00E038CB">
        <w:rPr>
          <w:rFonts w:ascii="Sylfaen" w:hAnsi="Sylfaen"/>
          <w:b/>
        </w:rPr>
        <w:t>დოკუმენტის</w:t>
      </w:r>
      <w:proofErr w:type="spellEnd"/>
      <w:r w:rsidRPr="00E038CB">
        <w:rPr>
          <w:rFonts w:ascii="Sylfaen" w:hAnsi="Sylfaen"/>
          <w:b/>
        </w:rPr>
        <w:t xml:space="preserve"> </w:t>
      </w:r>
      <w:proofErr w:type="spellStart"/>
      <w:r w:rsidRPr="00E038CB">
        <w:rPr>
          <w:rFonts w:ascii="Sylfaen" w:hAnsi="Sylfaen"/>
          <w:b/>
        </w:rPr>
        <w:t>გადამუშავებულ</w:t>
      </w:r>
      <w:proofErr w:type="spellEnd"/>
      <w:r w:rsidRPr="00E038CB">
        <w:rPr>
          <w:rFonts w:ascii="Sylfaen" w:hAnsi="Sylfaen"/>
          <w:b/>
        </w:rPr>
        <w:t xml:space="preserve"> </w:t>
      </w:r>
      <w:proofErr w:type="spellStart"/>
      <w:r w:rsidRPr="00E038CB">
        <w:rPr>
          <w:rFonts w:ascii="Sylfaen" w:hAnsi="Sylfaen"/>
          <w:b/>
        </w:rPr>
        <w:t>ვარიანტებზე</w:t>
      </w:r>
      <w:proofErr w:type="spellEnd"/>
      <w:r w:rsidR="00CA548A">
        <w:rPr>
          <w:rFonts w:ascii="Sylfaen" w:hAnsi="Sylfaen"/>
          <w:b/>
        </w:rPr>
        <w:t xml:space="preserve"> </w:t>
      </w:r>
      <w:proofErr w:type="spellStart"/>
      <w:r w:rsidR="00F14744" w:rsidRPr="00E038CB">
        <w:rPr>
          <w:rFonts w:ascii="Sylfaen" w:hAnsi="Sylfaen"/>
          <w:b/>
        </w:rPr>
        <w:t>საქართველოს</w:t>
      </w:r>
      <w:proofErr w:type="spellEnd"/>
      <w:r w:rsidR="00F14744" w:rsidRPr="00E038CB">
        <w:rPr>
          <w:rFonts w:ascii="Sylfaen" w:hAnsi="Sylfaen"/>
          <w:b/>
        </w:rPr>
        <w:t xml:space="preserve"> </w:t>
      </w:r>
      <w:proofErr w:type="spellStart"/>
      <w:r w:rsidR="00F14744" w:rsidRPr="00E038CB">
        <w:rPr>
          <w:rFonts w:ascii="Sylfaen" w:hAnsi="Sylfaen"/>
          <w:b/>
        </w:rPr>
        <w:t>პარლამენტის</w:t>
      </w:r>
      <w:proofErr w:type="spellEnd"/>
      <w:r w:rsidR="00F14744" w:rsidRPr="00E038CB">
        <w:rPr>
          <w:rFonts w:ascii="Sylfaen" w:hAnsi="Sylfaen"/>
          <w:b/>
        </w:rPr>
        <w:t xml:space="preserve"> </w:t>
      </w:r>
      <w:proofErr w:type="spellStart"/>
      <w:r w:rsidR="00AB62D0" w:rsidRPr="00E038CB">
        <w:rPr>
          <w:rFonts w:ascii="Sylfaen" w:hAnsi="Sylfaen"/>
          <w:b/>
        </w:rPr>
        <w:t>საფინანსო-საბიუჯეტო</w:t>
      </w:r>
      <w:proofErr w:type="spellEnd"/>
      <w:r w:rsidR="00AB62D0" w:rsidRPr="00E038CB">
        <w:rPr>
          <w:rFonts w:ascii="Sylfaen" w:hAnsi="Sylfaen"/>
          <w:b/>
        </w:rPr>
        <w:t xml:space="preserve"> </w:t>
      </w:r>
      <w:proofErr w:type="spellStart"/>
      <w:r w:rsidR="00AB62D0" w:rsidRPr="00E038CB">
        <w:rPr>
          <w:rFonts w:ascii="Sylfaen" w:hAnsi="Sylfaen"/>
          <w:b/>
        </w:rPr>
        <w:t>კომიტეტის</w:t>
      </w:r>
      <w:proofErr w:type="spellEnd"/>
      <w:r w:rsidR="00AF7BC4" w:rsidRPr="00E038CB">
        <w:rPr>
          <w:rFonts w:ascii="Sylfaen" w:hAnsi="Sylfaen"/>
          <w:b/>
        </w:rPr>
        <w:t xml:space="preserve"> </w:t>
      </w:r>
      <w:proofErr w:type="spellStart"/>
      <w:r w:rsidR="00AF7BC4" w:rsidRPr="00E038CB">
        <w:rPr>
          <w:rFonts w:ascii="Sylfaen" w:hAnsi="Sylfaen"/>
          <w:b/>
        </w:rPr>
        <w:t>რეკომენდაციების</w:t>
      </w:r>
      <w:proofErr w:type="spellEnd"/>
      <w:r w:rsidR="00AF7BC4" w:rsidRPr="00E038CB">
        <w:rPr>
          <w:rFonts w:ascii="Sylfaen" w:hAnsi="Sylfaen"/>
          <w:b/>
        </w:rPr>
        <w:t xml:space="preserve"> </w:t>
      </w:r>
      <w:proofErr w:type="spellStart"/>
      <w:r w:rsidR="00AF7BC4" w:rsidRPr="00E038CB">
        <w:rPr>
          <w:rFonts w:ascii="Sylfaen" w:hAnsi="Sylfaen"/>
          <w:b/>
        </w:rPr>
        <w:t>გათვალისწინების</w:t>
      </w:r>
      <w:proofErr w:type="spellEnd"/>
      <w:r w:rsidR="00AF7BC4" w:rsidRPr="00E038CB">
        <w:rPr>
          <w:rFonts w:ascii="Sylfaen" w:hAnsi="Sylfaen"/>
          <w:b/>
        </w:rPr>
        <w:t xml:space="preserve"> </w:t>
      </w:r>
      <w:proofErr w:type="spellStart"/>
      <w:r w:rsidR="00AF7BC4" w:rsidRPr="00E038CB">
        <w:rPr>
          <w:rFonts w:ascii="Sylfaen" w:hAnsi="Sylfaen"/>
          <w:b/>
        </w:rPr>
        <w:t>შესაძლებლობის</w:t>
      </w:r>
      <w:proofErr w:type="spellEnd"/>
      <w:r w:rsidR="00AF7BC4" w:rsidRPr="00E038CB">
        <w:rPr>
          <w:rFonts w:ascii="Sylfaen" w:hAnsi="Sylfaen"/>
          <w:b/>
        </w:rPr>
        <w:t xml:space="preserve"> </w:t>
      </w:r>
      <w:proofErr w:type="spellStart"/>
      <w:r w:rsidR="00AF7BC4" w:rsidRPr="00E038CB">
        <w:rPr>
          <w:rFonts w:ascii="Sylfaen" w:hAnsi="Sylfaen"/>
          <w:b/>
        </w:rPr>
        <w:t>შესახებ</w:t>
      </w:r>
      <w:proofErr w:type="spellEnd"/>
    </w:p>
    <w:p w:rsidR="003D08BF" w:rsidRPr="00E038CB" w:rsidRDefault="003D08BF" w:rsidP="003D08BF">
      <w:pPr>
        <w:tabs>
          <w:tab w:val="left" w:pos="0"/>
        </w:tabs>
        <w:spacing w:after="0" w:line="276" w:lineRule="auto"/>
        <w:jc w:val="center"/>
        <w:rPr>
          <w:rFonts w:ascii="Sylfaen" w:hAnsi="Sylfaen" w:cstheme="minorHAnsi"/>
          <w:b/>
          <w:bCs/>
          <w:noProof/>
        </w:rPr>
      </w:pPr>
    </w:p>
    <w:tbl>
      <w:tblPr>
        <w:tblStyle w:val="TableGrid"/>
        <w:tblW w:w="5252" w:type="pct"/>
        <w:tblInd w:w="-635" w:type="dxa"/>
        <w:tblLook w:val="04A0" w:firstRow="1" w:lastRow="0" w:firstColumn="1" w:lastColumn="0" w:noHBand="0" w:noVBand="1"/>
      </w:tblPr>
      <w:tblGrid>
        <w:gridCol w:w="460"/>
        <w:gridCol w:w="6410"/>
        <w:gridCol w:w="6733"/>
      </w:tblGrid>
      <w:tr w:rsidR="00336E24" w:rsidRPr="00A822B0" w:rsidTr="00DE2F3B">
        <w:trPr>
          <w:trHeight w:val="395"/>
          <w:tblHeader/>
        </w:trPr>
        <w:tc>
          <w:tcPr>
            <w:tcW w:w="169" w:type="pct"/>
          </w:tcPr>
          <w:p w:rsidR="00336E24" w:rsidRPr="00A822B0" w:rsidRDefault="00336E24" w:rsidP="00FD2A9B">
            <w:pPr>
              <w:tabs>
                <w:tab w:val="left" w:pos="0"/>
              </w:tabs>
              <w:spacing w:line="276" w:lineRule="auto"/>
              <w:jc w:val="center"/>
              <w:rPr>
                <w:rFonts w:ascii="Sylfaen" w:hAnsi="Sylfaen" w:cstheme="minorHAnsi"/>
                <w:b/>
                <w:bCs/>
                <w:noProof/>
              </w:rPr>
            </w:pPr>
            <w:r w:rsidRPr="00A822B0">
              <w:rPr>
                <w:rFonts w:ascii="Sylfaen" w:hAnsi="Sylfaen" w:cstheme="minorHAnsi"/>
                <w:b/>
                <w:bCs/>
                <w:noProof/>
              </w:rPr>
              <w:t>№</w:t>
            </w:r>
          </w:p>
        </w:tc>
        <w:tc>
          <w:tcPr>
            <w:tcW w:w="2356" w:type="pct"/>
            <w:vAlign w:val="center"/>
          </w:tcPr>
          <w:p w:rsidR="00336E24" w:rsidRPr="00A822B0" w:rsidRDefault="00336E24" w:rsidP="00FD2A9B">
            <w:pPr>
              <w:tabs>
                <w:tab w:val="left" w:pos="0"/>
              </w:tabs>
              <w:spacing w:line="276" w:lineRule="auto"/>
              <w:jc w:val="center"/>
              <w:rPr>
                <w:rFonts w:ascii="Sylfaen" w:hAnsi="Sylfaen" w:cstheme="minorHAnsi"/>
                <w:b/>
                <w:bCs/>
                <w:noProof/>
              </w:rPr>
            </w:pPr>
            <w:proofErr w:type="spellStart"/>
            <w:r w:rsidRPr="00A822B0">
              <w:rPr>
                <w:rFonts w:ascii="Sylfaen" w:hAnsi="Sylfaen"/>
                <w:b/>
              </w:rPr>
              <w:t>რეკომენდაცია</w:t>
            </w:r>
            <w:proofErr w:type="spellEnd"/>
          </w:p>
        </w:tc>
        <w:tc>
          <w:tcPr>
            <w:tcW w:w="2475" w:type="pct"/>
            <w:vAlign w:val="center"/>
          </w:tcPr>
          <w:p w:rsidR="00336E24" w:rsidRPr="00A822B0" w:rsidRDefault="00336E24" w:rsidP="00FD2A9B">
            <w:pPr>
              <w:tabs>
                <w:tab w:val="left" w:pos="0"/>
              </w:tabs>
              <w:spacing w:line="276" w:lineRule="auto"/>
              <w:jc w:val="center"/>
              <w:rPr>
                <w:rFonts w:ascii="Sylfaen" w:hAnsi="Sylfaen" w:cstheme="minorHAnsi"/>
                <w:b/>
                <w:bCs/>
                <w:noProof/>
              </w:rPr>
            </w:pPr>
            <w:proofErr w:type="spellStart"/>
            <w:r w:rsidRPr="00A822B0">
              <w:rPr>
                <w:rFonts w:ascii="Sylfaen" w:hAnsi="Sylfaen"/>
                <w:b/>
              </w:rPr>
              <w:t>რეკომენდაციის</w:t>
            </w:r>
            <w:proofErr w:type="spellEnd"/>
            <w:r w:rsidRPr="00A822B0">
              <w:rPr>
                <w:rFonts w:ascii="Sylfaen" w:hAnsi="Sylfaen"/>
                <w:b/>
              </w:rPr>
              <w:t xml:space="preserve"> </w:t>
            </w:r>
            <w:proofErr w:type="spellStart"/>
            <w:r w:rsidRPr="00A822B0">
              <w:rPr>
                <w:rFonts w:ascii="Sylfaen" w:hAnsi="Sylfaen"/>
                <w:b/>
              </w:rPr>
              <w:t>გათვალისწინების</w:t>
            </w:r>
            <w:proofErr w:type="spellEnd"/>
            <w:r w:rsidRPr="00A822B0">
              <w:rPr>
                <w:rFonts w:ascii="Sylfaen" w:hAnsi="Sylfaen"/>
                <w:b/>
              </w:rPr>
              <w:t xml:space="preserve"> </w:t>
            </w:r>
            <w:proofErr w:type="spellStart"/>
            <w:r w:rsidRPr="00A822B0">
              <w:rPr>
                <w:rFonts w:ascii="Sylfaen" w:hAnsi="Sylfaen"/>
                <w:b/>
              </w:rPr>
              <w:t>შესაძლებლობა</w:t>
            </w:r>
            <w:proofErr w:type="spellEnd"/>
          </w:p>
        </w:tc>
      </w:tr>
      <w:tr w:rsidR="00F14744" w:rsidRPr="00A822B0" w:rsidTr="00DE2F3B">
        <w:tc>
          <w:tcPr>
            <w:tcW w:w="169" w:type="pct"/>
            <w:vAlign w:val="center"/>
          </w:tcPr>
          <w:p w:rsidR="00F14744" w:rsidRPr="00A822B0" w:rsidRDefault="003E05A6" w:rsidP="00FD2A9B">
            <w:pPr>
              <w:tabs>
                <w:tab w:val="left" w:pos="0"/>
              </w:tabs>
              <w:spacing w:line="276" w:lineRule="auto"/>
              <w:jc w:val="both"/>
              <w:rPr>
                <w:rFonts w:ascii="Sylfaen" w:hAnsi="Sylfaen" w:cstheme="minorHAnsi"/>
                <w:bCs/>
                <w:noProof/>
              </w:rPr>
            </w:pPr>
            <w:r w:rsidRPr="00A822B0">
              <w:rPr>
                <w:rFonts w:ascii="Sylfaen" w:hAnsi="Sylfaen" w:cstheme="minorHAnsi"/>
                <w:bCs/>
                <w:noProof/>
              </w:rPr>
              <w:t>1</w:t>
            </w:r>
          </w:p>
        </w:tc>
        <w:tc>
          <w:tcPr>
            <w:tcW w:w="2356" w:type="pct"/>
          </w:tcPr>
          <w:p w:rsidR="00570817" w:rsidRPr="00A822B0" w:rsidRDefault="00403631" w:rsidP="00FD2A9B">
            <w:pPr>
              <w:spacing w:line="276" w:lineRule="auto"/>
              <w:jc w:val="both"/>
              <w:rPr>
                <w:rFonts w:ascii="Sylfaen" w:hAnsi="Sylfaen" w:cstheme="minorHAnsi"/>
                <w:bCs/>
                <w:noProof/>
                <w:lang w:val="ka-GE"/>
              </w:rPr>
            </w:pPr>
            <w:r w:rsidRPr="00403631">
              <w:rPr>
                <w:rFonts w:ascii="Sylfaen" w:hAnsi="Sylfaen" w:cstheme="minorHAnsi"/>
                <w:bCs/>
                <w:noProof/>
                <w:lang w:val="ka-GE"/>
              </w:rPr>
              <w:t xml:space="preserve">კომიტეტის რეკომენდაციით შესაძლებელი იყო </w:t>
            </w:r>
            <w:r w:rsidRPr="00403631">
              <w:rPr>
                <w:rFonts w:ascii="Sylfaen" w:hAnsi="Sylfaen" w:cstheme="minorHAnsi"/>
                <w:b/>
                <w:bCs/>
                <w:noProof/>
                <w:lang w:val="ka-GE"/>
              </w:rPr>
              <w:t>ბიუჯეტში შემოსავლების, მათ შორის, საგადასახადო შემოსავლების სახით დამატებითი ფულადი სახსრების აკუმულირება.</w:t>
            </w:r>
            <w:r w:rsidRPr="00403631">
              <w:rPr>
                <w:rFonts w:ascii="Sylfaen" w:hAnsi="Sylfaen" w:cstheme="minorHAnsi"/>
                <w:bCs/>
                <w:noProof/>
                <w:lang w:val="ka-GE"/>
              </w:rPr>
              <w:t xml:space="preserve"> მისასალმებელია, რომ რეკომენდაცია გათვალისწინებულია და გამოინახა დამატებითი თანხები, თუმცა მიგვაჩნია,  რომ   შესაძლებელია  კიდევ გარკვეული ოდენობის თანხების მობილიზება, მით უმეტეს რომ  საქართველოს პარლამენტში მიმდინარეობს კანონპროექტების განხილვა, რომელთა ამოქმედება ბიუჯეტის შემოსავლების გაზრდის შესაძლებლობას იძლევა</w:t>
            </w:r>
          </w:p>
        </w:tc>
        <w:tc>
          <w:tcPr>
            <w:tcW w:w="2475" w:type="pct"/>
          </w:tcPr>
          <w:p w:rsidR="00A413E6" w:rsidRPr="006767E3" w:rsidRDefault="00A413E6" w:rsidP="00FD2A9B">
            <w:pPr>
              <w:tabs>
                <w:tab w:val="left" w:pos="0"/>
              </w:tabs>
              <w:spacing w:line="276" w:lineRule="auto"/>
              <w:jc w:val="both"/>
              <w:rPr>
                <w:rFonts w:ascii="Sylfaen" w:hAnsi="Sylfaen" w:cstheme="minorHAnsi"/>
                <w:b/>
                <w:bCs/>
                <w:noProof/>
                <w:lang w:val="ka-GE"/>
              </w:rPr>
            </w:pPr>
            <w:r w:rsidRPr="006767E3">
              <w:rPr>
                <w:rFonts w:ascii="Sylfaen" w:hAnsi="Sylfaen" w:cstheme="minorHAnsi"/>
                <w:b/>
                <w:bCs/>
                <w:noProof/>
                <w:lang w:val="ka-GE"/>
              </w:rPr>
              <w:t xml:space="preserve">გათვალისწინებულია </w:t>
            </w:r>
          </w:p>
          <w:p w:rsidR="00CE1931" w:rsidRPr="006767E3" w:rsidRDefault="00CE1931" w:rsidP="00FD2A9B">
            <w:pPr>
              <w:spacing w:line="276" w:lineRule="auto"/>
              <w:jc w:val="both"/>
              <w:rPr>
                <w:rFonts w:ascii="Sylfaen" w:hAnsi="Sylfaen" w:cstheme="minorHAnsi"/>
                <w:lang w:val="ka-GE"/>
              </w:rPr>
            </w:pPr>
          </w:p>
          <w:p w:rsidR="00A413E6" w:rsidRPr="00CE1931" w:rsidRDefault="00CE1931" w:rsidP="00FD2A9B">
            <w:pPr>
              <w:spacing w:line="276" w:lineRule="auto"/>
              <w:jc w:val="both"/>
              <w:rPr>
                <w:rFonts w:ascii="Sylfaen" w:hAnsi="Sylfaen" w:cstheme="minorHAnsi"/>
              </w:rPr>
            </w:pPr>
            <w:r w:rsidRPr="006767E3">
              <w:rPr>
                <w:rFonts w:ascii="Sylfaen" w:hAnsi="Sylfaen"/>
                <w:lang w:val="ka-GE"/>
              </w:rPr>
              <w:t>საგადასახადო შემოსავლების განახლებული მაჩვენებლის და დივიდენდის ზრდის შედეგად ნაერთი ბიუჯეტის შემოსავლები იზრდება 160,0 მლნ ლარზე მეტით</w:t>
            </w:r>
            <w:r w:rsidRPr="006767E3">
              <w:rPr>
                <w:rFonts w:ascii="Sylfaen" w:hAnsi="Sylfaen"/>
              </w:rPr>
              <w:t>.</w:t>
            </w:r>
          </w:p>
        </w:tc>
      </w:tr>
      <w:tr w:rsidR="00C64D86" w:rsidRPr="00A822B0" w:rsidTr="00DE2F3B">
        <w:tc>
          <w:tcPr>
            <w:tcW w:w="169" w:type="pct"/>
            <w:vAlign w:val="center"/>
          </w:tcPr>
          <w:p w:rsidR="00C64D86" w:rsidRPr="00A822B0" w:rsidRDefault="00C64D86" w:rsidP="00FD2A9B">
            <w:pPr>
              <w:tabs>
                <w:tab w:val="left" w:pos="0"/>
              </w:tabs>
              <w:spacing w:line="276" w:lineRule="auto"/>
              <w:jc w:val="both"/>
              <w:rPr>
                <w:rFonts w:ascii="Sylfaen" w:hAnsi="Sylfaen" w:cstheme="minorHAnsi"/>
                <w:bCs/>
                <w:noProof/>
              </w:rPr>
            </w:pPr>
            <w:r w:rsidRPr="00A822B0">
              <w:rPr>
                <w:rFonts w:ascii="Sylfaen" w:hAnsi="Sylfaen" w:cstheme="minorHAnsi"/>
                <w:bCs/>
                <w:noProof/>
              </w:rPr>
              <w:t>2</w:t>
            </w:r>
          </w:p>
        </w:tc>
        <w:tc>
          <w:tcPr>
            <w:tcW w:w="2356" w:type="pct"/>
          </w:tcPr>
          <w:p w:rsidR="00C64D86" w:rsidRPr="00DE2F3B" w:rsidRDefault="00403631" w:rsidP="00FD2A9B">
            <w:pPr>
              <w:tabs>
                <w:tab w:val="left" w:pos="0"/>
              </w:tabs>
              <w:spacing w:line="276" w:lineRule="auto"/>
              <w:jc w:val="both"/>
              <w:rPr>
                <w:rFonts w:ascii="Sylfaen" w:hAnsi="Sylfaen" w:cstheme="minorHAnsi"/>
                <w:bCs/>
                <w:noProof/>
                <w:lang w:val="ka-GE"/>
              </w:rPr>
            </w:pPr>
            <w:r w:rsidRPr="00403631">
              <w:rPr>
                <w:rFonts w:ascii="Sylfaen" w:hAnsi="Sylfaen" w:cstheme="minorHAnsi"/>
                <w:bCs/>
                <w:noProof/>
                <w:lang w:val="ka-GE"/>
              </w:rPr>
              <w:t xml:space="preserve">გათვალისწინებულია კომიტეტის რეკომენდაცია </w:t>
            </w:r>
            <w:r w:rsidRPr="00403631">
              <w:rPr>
                <w:rFonts w:ascii="Sylfaen" w:hAnsi="Sylfaen" w:cstheme="minorHAnsi"/>
                <w:b/>
                <w:bCs/>
                <w:noProof/>
                <w:lang w:val="ka-GE"/>
              </w:rPr>
              <w:t>„საქართველოს რეგიონებში განსახორციელებელი პროექტების ფონდის“ ოდენობის გაზრდის თაობაზე. მიზანშეწონილია ფონდის ოდენობის კიდევ გაზრდა, რამდენადაც ფონდი იძლევა რეგიონებში სრულყოფილი ინფრასტრუქტურისა და მუნიციპალიტეტების გაძლიერების  მნიშვნელოვან შესაძლებლობებს.</w:t>
            </w:r>
            <w:r w:rsidRPr="00403631">
              <w:rPr>
                <w:rFonts w:ascii="Sylfaen" w:hAnsi="Sylfaen" w:cstheme="minorHAnsi"/>
                <w:bCs/>
                <w:noProof/>
                <w:lang w:val="ka-GE"/>
              </w:rPr>
              <w:t xml:space="preserve">  აღნიშნული ფონდისთვის დამატებითი რესურსების გამოყოფას ითხოვს პრაქტიკულად ყველა მაჟორიტარი პარლამენტის წევრი და პარლამენტის კომიტეტები</w:t>
            </w:r>
          </w:p>
        </w:tc>
        <w:tc>
          <w:tcPr>
            <w:tcW w:w="2475" w:type="pct"/>
          </w:tcPr>
          <w:p w:rsidR="00CD437C" w:rsidRDefault="00CD437C" w:rsidP="00FD2A9B">
            <w:pPr>
              <w:tabs>
                <w:tab w:val="left" w:pos="0"/>
              </w:tabs>
              <w:spacing w:line="276" w:lineRule="auto"/>
              <w:jc w:val="both"/>
              <w:rPr>
                <w:rFonts w:ascii="Sylfaen" w:hAnsi="Sylfaen" w:cstheme="minorHAnsi"/>
                <w:b/>
                <w:bCs/>
                <w:noProof/>
                <w:lang w:val="ka-GE"/>
              </w:rPr>
            </w:pPr>
            <w:r>
              <w:rPr>
                <w:rFonts w:ascii="Sylfaen" w:hAnsi="Sylfaen" w:cstheme="minorHAnsi"/>
                <w:b/>
                <w:bCs/>
                <w:noProof/>
                <w:lang w:val="ka-GE"/>
              </w:rPr>
              <w:t xml:space="preserve">გათვალისწინებულია </w:t>
            </w:r>
          </w:p>
          <w:p w:rsidR="00CD437C" w:rsidRDefault="00CD437C" w:rsidP="00FD2A9B">
            <w:pPr>
              <w:tabs>
                <w:tab w:val="left" w:pos="0"/>
              </w:tabs>
              <w:spacing w:line="276" w:lineRule="auto"/>
              <w:jc w:val="both"/>
              <w:rPr>
                <w:rFonts w:ascii="Sylfaen" w:hAnsi="Sylfaen" w:cstheme="minorHAnsi"/>
                <w:b/>
                <w:bCs/>
                <w:noProof/>
                <w:lang w:val="ka-GE"/>
              </w:rPr>
            </w:pPr>
          </w:p>
          <w:p w:rsidR="001B6069" w:rsidRPr="00CD437C" w:rsidRDefault="00CD437C" w:rsidP="00FD2A9B">
            <w:pPr>
              <w:tabs>
                <w:tab w:val="left" w:pos="0"/>
              </w:tabs>
              <w:spacing w:line="276" w:lineRule="auto"/>
              <w:jc w:val="both"/>
              <w:rPr>
                <w:rFonts w:ascii="Sylfaen" w:hAnsi="Sylfaen" w:cstheme="minorHAnsi"/>
                <w:bCs/>
                <w:noProof/>
                <w:lang w:val="ka-GE"/>
              </w:rPr>
            </w:pPr>
            <w:r w:rsidRPr="00CD437C">
              <w:rPr>
                <w:rFonts w:ascii="Sylfaen" w:hAnsi="Sylfaen" w:cstheme="minorHAnsi"/>
                <w:bCs/>
                <w:noProof/>
                <w:lang w:val="ka-GE"/>
              </w:rPr>
              <w:t>საქართველოს რეგიონებში განსახორციელებელი პროექტების ფონდი</w:t>
            </w:r>
            <w:r>
              <w:rPr>
                <w:rFonts w:ascii="Sylfaen" w:hAnsi="Sylfaen" w:cstheme="minorHAnsi"/>
                <w:bCs/>
                <w:noProof/>
                <w:lang w:val="ka-GE"/>
              </w:rPr>
              <w:t xml:space="preserve"> გაზრდილია 130 მლნ ლარით და შეადგენს 580 მლნ ლარს.</w:t>
            </w:r>
          </w:p>
        </w:tc>
      </w:tr>
      <w:tr w:rsidR="00C64D86" w:rsidRPr="00A822B0" w:rsidTr="00DE2F3B">
        <w:tc>
          <w:tcPr>
            <w:tcW w:w="169" w:type="pct"/>
            <w:vAlign w:val="center"/>
          </w:tcPr>
          <w:p w:rsidR="00C64D86" w:rsidRPr="00A822B0" w:rsidRDefault="00C64D86" w:rsidP="00FD2A9B">
            <w:pPr>
              <w:tabs>
                <w:tab w:val="left" w:pos="0"/>
              </w:tabs>
              <w:spacing w:line="276" w:lineRule="auto"/>
              <w:jc w:val="both"/>
              <w:rPr>
                <w:rFonts w:ascii="Sylfaen" w:hAnsi="Sylfaen" w:cstheme="minorHAnsi"/>
                <w:bCs/>
                <w:noProof/>
              </w:rPr>
            </w:pPr>
            <w:r w:rsidRPr="00A822B0">
              <w:rPr>
                <w:rFonts w:ascii="Sylfaen" w:hAnsi="Sylfaen" w:cstheme="minorHAnsi"/>
                <w:bCs/>
                <w:noProof/>
              </w:rPr>
              <w:t>3</w:t>
            </w:r>
          </w:p>
        </w:tc>
        <w:tc>
          <w:tcPr>
            <w:tcW w:w="2356" w:type="pct"/>
          </w:tcPr>
          <w:p w:rsidR="00A822B0" w:rsidRPr="00DE2F3B" w:rsidRDefault="00403631" w:rsidP="00FD2A9B">
            <w:pPr>
              <w:tabs>
                <w:tab w:val="left" w:pos="0"/>
              </w:tabs>
              <w:spacing w:line="276" w:lineRule="auto"/>
              <w:jc w:val="both"/>
              <w:rPr>
                <w:rFonts w:ascii="Sylfaen" w:hAnsi="Sylfaen" w:cstheme="minorHAnsi"/>
                <w:b/>
                <w:bCs/>
                <w:noProof/>
                <w:lang w:val="ka-GE"/>
              </w:rPr>
            </w:pPr>
            <w:r w:rsidRPr="00403631">
              <w:rPr>
                <w:rFonts w:ascii="Sylfaen" w:hAnsi="Sylfaen" w:cstheme="minorHAnsi"/>
                <w:bCs/>
                <w:noProof/>
                <w:lang w:val="ka-GE"/>
              </w:rPr>
              <w:t xml:space="preserve">საქართველოს სხვადასხვა რეგიონში </w:t>
            </w:r>
            <w:r w:rsidRPr="00403631">
              <w:rPr>
                <w:rFonts w:ascii="Sylfaen" w:hAnsi="Sylfaen" w:cstheme="minorHAnsi"/>
                <w:b/>
                <w:bCs/>
                <w:noProof/>
                <w:lang w:val="ka-GE"/>
              </w:rPr>
              <w:t>გაზიფიცირებისა და მოსახლეობისათვის გაზის მიწოდების ხელმისაწვდომობის უზრუნველყოფის თაობაზე</w:t>
            </w:r>
            <w:r w:rsidRPr="00403631">
              <w:rPr>
                <w:rFonts w:ascii="Sylfaen" w:hAnsi="Sylfaen" w:cstheme="minorHAnsi"/>
                <w:bCs/>
                <w:noProof/>
                <w:lang w:val="ka-GE"/>
              </w:rPr>
              <w:t xml:space="preserve"> კომიტეტის რეკომენდაციასთან დაკავშირებით აღნიშნულია, რომ  „საქართველოს მთავრობის </w:t>
            </w:r>
            <w:r w:rsidRPr="00403631">
              <w:rPr>
                <w:rFonts w:ascii="Sylfaen" w:hAnsi="Sylfaen" w:cstheme="minorHAnsi"/>
                <w:bCs/>
                <w:noProof/>
                <w:lang w:val="ka-GE"/>
              </w:rPr>
              <w:lastRenderedPageBreak/>
              <w:t>განკარგულებების შესაბამისად დაგეგმილი გაზიფიცირების სამუშაოები დაფინანსდება გაზის ტრანსპორტირების კომპანიაში აკუმულირებული სახსრებით“. მიზანშეწონილია  ეს საკითხი აყვანილ იქნეს კონტროლზე და მობილიზებული იყოს  სათანადო თანხები</w:t>
            </w:r>
          </w:p>
        </w:tc>
        <w:tc>
          <w:tcPr>
            <w:tcW w:w="2475" w:type="pct"/>
          </w:tcPr>
          <w:p w:rsidR="00A413E6" w:rsidRPr="00652C44" w:rsidRDefault="00A413E6" w:rsidP="00FD2A9B">
            <w:pPr>
              <w:tabs>
                <w:tab w:val="left" w:pos="0"/>
              </w:tabs>
              <w:spacing w:line="276" w:lineRule="auto"/>
              <w:jc w:val="both"/>
              <w:rPr>
                <w:rFonts w:ascii="Sylfaen" w:hAnsi="Sylfaen" w:cstheme="minorHAnsi"/>
                <w:b/>
                <w:bCs/>
                <w:noProof/>
                <w:lang w:val="ka-GE"/>
              </w:rPr>
            </w:pPr>
            <w:r w:rsidRPr="00652C44">
              <w:rPr>
                <w:rFonts w:ascii="Sylfaen" w:hAnsi="Sylfaen" w:cstheme="minorHAnsi"/>
                <w:b/>
                <w:bCs/>
                <w:noProof/>
                <w:lang w:val="ka-GE"/>
              </w:rPr>
              <w:lastRenderedPageBreak/>
              <w:t>გათვალისწინებულია</w:t>
            </w:r>
          </w:p>
          <w:p w:rsidR="00FD2A9B" w:rsidRDefault="00FD2A9B" w:rsidP="00FD2A9B">
            <w:pPr>
              <w:spacing w:line="276" w:lineRule="auto"/>
              <w:jc w:val="both"/>
              <w:rPr>
                <w:rFonts w:ascii="Sylfaen" w:hAnsi="Sylfaen" w:cstheme="minorHAnsi"/>
                <w:bCs/>
                <w:noProof/>
                <w:lang w:val="ka-GE"/>
              </w:rPr>
            </w:pPr>
          </w:p>
          <w:p w:rsidR="00652C44" w:rsidRPr="00FD2A9B" w:rsidRDefault="00A413E6" w:rsidP="00FD2A9B">
            <w:pPr>
              <w:spacing w:line="276" w:lineRule="auto"/>
              <w:jc w:val="both"/>
              <w:rPr>
                <w:rFonts w:ascii="Sylfaen" w:hAnsi="Sylfaen" w:cstheme="minorHAnsi"/>
                <w:bCs/>
                <w:noProof/>
              </w:rPr>
            </w:pPr>
            <w:r>
              <w:rPr>
                <w:rFonts w:ascii="Sylfaen" w:hAnsi="Sylfaen" w:cstheme="minorHAnsi"/>
                <w:bCs/>
                <w:noProof/>
                <w:lang w:val="ka-GE"/>
              </w:rPr>
              <w:t xml:space="preserve">საქართველოს მთავრობის განკარგულებების შესაბამისად დაგეგმილი გაზიფიცირების სამუშაოები დაფინანსდება გაზის </w:t>
            </w:r>
            <w:r>
              <w:rPr>
                <w:rFonts w:ascii="Sylfaen" w:hAnsi="Sylfaen" w:cstheme="minorHAnsi"/>
                <w:bCs/>
                <w:noProof/>
                <w:lang w:val="ka-GE"/>
              </w:rPr>
              <w:lastRenderedPageBreak/>
              <w:t>ტრანსპორტირების კომპანიაში აკუმულირებული სახსრებით.</w:t>
            </w:r>
            <w:r w:rsidR="00652C44" w:rsidRPr="00652C44">
              <w:rPr>
                <w:rFonts w:ascii="Sylfaen" w:hAnsi="Sylfaen" w:cstheme="minorHAnsi"/>
                <w:bCs/>
                <w:noProof/>
                <w:lang w:val="ka-GE"/>
              </w:rPr>
              <w:t xml:space="preserve"> </w:t>
            </w:r>
            <w:r w:rsidR="00652C44">
              <w:rPr>
                <w:rFonts w:ascii="Sylfaen" w:hAnsi="Sylfaen" w:cstheme="minorHAnsi"/>
                <w:bCs/>
                <w:noProof/>
                <w:lang w:val="ka-GE"/>
              </w:rPr>
              <w:t xml:space="preserve">აღსანიშნავია, რომ მიმდინარე წლის 24 ნოემბერს </w:t>
            </w:r>
            <w:r w:rsidR="00652C44" w:rsidRPr="00652C44">
              <w:rPr>
                <w:rFonts w:ascii="Sylfaen" w:hAnsi="Sylfaen" w:cstheme="minorHAnsi"/>
                <w:bCs/>
                <w:noProof/>
                <w:lang w:val="ka-GE"/>
              </w:rPr>
              <w:t xml:space="preserve">საქართველოს ფინანსთა სამინისტროსთან შექმნილი სახელმწიფოს წილობრივი მონაწილეობით მოქმედი საწარმოების წმინდა მოგების განაწილებისა და გამოყენების შესახებ წინადადებების განხილვისა და გადაწყვეტილების მიმღები კომისიის </w:t>
            </w:r>
            <w:r w:rsidR="00652C44">
              <w:rPr>
                <w:rFonts w:ascii="Sylfaen" w:hAnsi="Sylfaen" w:cstheme="minorHAnsi"/>
                <w:bCs/>
                <w:noProof/>
                <w:lang w:val="ka-GE"/>
              </w:rPr>
              <w:t>სხდომაზე მიღებული გადაწყვეტილებით, აღნიშნული კომ</w:t>
            </w:r>
            <w:r w:rsidR="00FD2A9B">
              <w:rPr>
                <w:rFonts w:ascii="Sylfaen" w:hAnsi="Sylfaen" w:cstheme="minorHAnsi"/>
                <w:bCs/>
                <w:noProof/>
                <w:lang w:val="ka-GE"/>
              </w:rPr>
              <w:t>პ</w:t>
            </w:r>
            <w:r w:rsidR="00652C44">
              <w:rPr>
                <w:rFonts w:ascii="Sylfaen" w:hAnsi="Sylfaen" w:cstheme="minorHAnsi"/>
                <w:bCs/>
                <w:noProof/>
                <w:lang w:val="ka-GE"/>
              </w:rPr>
              <w:t>ანია უზრუნველყოფს დამატები</w:t>
            </w:r>
            <w:r w:rsidR="00FD2A9B">
              <w:rPr>
                <w:rFonts w:ascii="Sylfaen" w:hAnsi="Sylfaen" w:cstheme="minorHAnsi"/>
                <w:bCs/>
                <w:noProof/>
                <w:lang w:val="ka-GE"/>
              </w:rPr>
              <w:t>თ</w:t>
            </w:r>
            <w:r w:rsidR="00652C44">
              <w:rPr>
                <w:rFonts w:ascii="Sylfaen" w:hAnsi="Sylfaen" w:cstheme="minorHAnsi"/>
                <w:bCs/>
                <w:noProof/>
                <w:lang w:val="ka-GE"/>
              </w:rPr>
              <w:t xml:space="preserve"> 22 მილიონი ლარის მიმართვას გაზიფიცირების სამუშაოების დასაფინანსებლად.</w:t>
            </w:r>
          </w:p>
          <w:p w:rsidR="00E51040" w:rsidRPr="00652C44" w:rsidRDefault="00E51040" w:rsidP="00FD2A9B">
            <w:pPr>
              <w:tabs>
                <w:tab w:val="left" w:pos="0"/>
              </w:tabs>
              <w:spacing w:line="276" w:lineRule="auto"/>
              <w:jc w:val="both"/>
              <w:rPr>
                <w:rFonts w:ascii="Sylfaen" w:hAnsi="Sylfaen" w:cstheme="minorHAnsi"/>
                <w:bCs/>
                <w:noProof/>
                <w:lang w:val="ka-GE"/>
              </w:rPr>
            </w:pPr>
          </w:p>
        </w:tc>
      </w:tr>
      <w:tr w:rsidR="00C64D86" w:rsidRPr="00A822B0" w:rsidTr="00DE2F3B">
        <w:tc>
          <w:tcPr>
            <w:tcW w:w="169" w:type="pct"/>
            <w:vAlign w:val="center"/>
          </w:tcPr>
          <w:p w:rsidR="00C64D86" w:rsidRPr="00A822B0" w:rsidRDefault="00C64D86" w:rsidP="00FD2A9B">
            <w:pPr>
              <w:tabs>
                <w:tab w:val="left" w:pos="0"/>
              </w:tabs>
              <w:spacing w:line="276" w:lineRule="auto"/>
              <w:jc w:val="both"/>
              <w:rPr>
                <w:rFonts w:ascii="Sylfaen" w:hAnsi="Sylfaen" w:cstheme="minorHAnsi"/>
                <w:bCs/>
                <w:noProof/>
              </w:rPr>
            </w:pPr>
            <w:r w:rsidRPr="00A822B0">
              <w:rPr>
                <w:rFonts w:ascii="Sylfaen" w:hAnsi="Sylfaen" w:cstheme="minorHAnsi"/>
                <w:bCs/>
                <w:noProof/>
              </w:rPr>
              <w:lastRenderedPageBreak/>
              <w:t>4</w:t>
            </w:r>
          </w:p>
        </w:tc>
        <w:tc>
          <w:tcPr>
            <w:tcW w:w="2356" w:type="pct"/>
          </w:tcPr>
          <w:p w:rsidR="00C64D86" w:rsidRPr="00DE2F3B" w:rsidRDefault="00403631" w:rsidP="00FD2A9B">
            <w:pPr>
              <w:tabs>
                <w:tab w:val="left" w:pos="0"/>
              </w:tabs>
              <w:spacing w:line="276" w:lineRule="auto"/>
              <w:jc w:val="both"/>
              <w:rPr>
                <w:rFonts w:ascii="Sylfaen" w:hAnsi="Sylfaen" w:cstheme="minorHAnsi"/>
                <w:bCs/>
                <w:noProof/>
                <w:lang w:val="ka-GE"/>
              </w:rPr>
            </w:pPr>
            <w:r w:rsidRPr="00403631">
              <w:rPr>
                <w:rFonts w:ascii="Sylfaen" w:hAnsi="Sylfaen" w:cstheme="minorHAnsi"/>
                <w:bCs/>
                <w:noProof/>
                <w:lang w:val="ka-GE"/>
              </w:rPr>
              <w:t xml:space="preserve">მნიშვნელოვანია, რომ კომიტეტის რეკომენდაცია ვეტერანთა მატერიალურ-სოციალური მდგომარეობის გაუმჯობესების მიზნით სსიპ - ვეტერანების საქმეთა სახელმწიფო სამსახურის დაფინანსების გაზრდასთან დაკავშირებით ნაწილობრივ გათვალისწინებულია.  კომიტეტს მიზანშეწონილად მიაჩნია </w:t>
            </w:r>
            <w:r w:rsidRPr="00403631">
              <w:rPr>
                <w:rFonts w:ascii="Sylfaen" w:hAnsi="Sylfaen" w:cstheme="minorHAnsi"/>
                <w:b/>
                <w:bCs/>
                <w:noProof/>
                <w:lang w:val="ka-GE"/>
              </w:rPr>
              <w:t>ვეტერანთა მატერიალურ-სოციალური მდგომარეობის გათვალისწინებით მათი სოციალური გასაცემლის ოდენობის გაზრდა.</w:t>
            </w:r>
            <w:r w:rsidRPr="00403631">
              <w:rPr>
                <w:rFonts w:ascii="Sylfaen" w:hAnsi="Sylfaen" w:cstheme="minorHAnsi"/>
                <w:bCs/>
                <w:noProof/>
                <w:lang w:val="ka-GE"/>
              </w:rPr>
              <w:t xml:space="preserve"> ასევე, შესაძლებლობის ფარგლებში მოხდეს ვეტერანების საქმეთა სახელმწიფო სამსახურის დაფინა</w:t>
            </w:r>
            <w:r>
              <w:rPr>
                <w:rFonts w:ascii="Sylfaen" w:hAnsi="Sylfaen" w:cstheme="minorHAnsi"/>
                <w:bCs/>
                <w:noProof/>
                <w:lang w:val="ka-GE"/>
              </w:rPr>
              <w:t>ნ</w:t>
            </w:r>
            <w:r w:rsidRPr="00403631">
              <w:rPr>
                <w:rFonts w:ascii="Sylfaen" w:hAnsi="Sylfaen" w:cstheme="minorHAnsi"/>
                <w:bCs/>
                <w:noProof/>
                <w:lang w:val="ka-GE"/>
              </w:rPr>
              <w:t>სების თანხების  კიდევ გაზრდა</w:t>
            </w:r>
            <w:r w:rsidR="00A413E6">
              <w:rPr>
                <w:rFonts w:ascii="Sylfaen" w:hAnsi="Sylfaen" w:cstheme="minorHAnsi"/>
                <w:bCs/>
                <w:noProof/>
                <w:lang w:val="ka-GE"/>
              </w:rPr>
              <w:t>.</w:t>
            </w:r>
          </w:p>
        </w:tc>
        <w:tc>
          <w:tcPr>
            <w:tcW w:w="2475" w:type="pct"/>
          </w:tcPr>
          <w:p w:rsidR="00CD437C" w:rsidRPr="00CD437C" w:rsidRDefault="00CD437C" w:rsidP="00FD2A9B">
            <w:pPr>
              <w:tabs>
                <w:tab w:val="left" w:pos="0"/>
              </w:tabs>
              <w:spacing w:line="276" w:lineRule="auto"/>
              <w:jc w:val="both"/>
              <w:rPr>
                <w:rFonts w:ascii="Sylfaen" w:hAnsi="Sylfaen" w:cstheme="minorHAnsi"/>
                <w:b/>
                <w:bCs/>
                <w:noProof/>
                <w:lang w:val="ka-GE"/>
              </w:rPr>
            </w:pPr>
            <w:r w:rsidRPr="00652C44">
              <w:rPr>
                <w:rFonts w:ascii="Sylfaen" w:hAnsi="Sylfaen" w:cstheme="minorHAnsi"/>
                <w:b/>
                <w:bCs/>
                <w:noProof/>
                <w:lang w:val="ka-GE"/>
              </w:rPr>
              <w:t>გათვალისწინებულია</w:t>
            </w:r>
            <w:r w:rsidR="00354D90" w:rsidRPr="00652C44">
              <w:rPr>
                <w:rFonts w:ascii="Sylfaen" w:hAnsi="Sylfaen" w:cstheme="minorHAnsi"/>
                <w:b/>
                <w:bCs/>
                <w:noProof/>
                <w:lang w:val="ka-GE"/>
              </w:rPr>
              <w:t xml:space="preserve"> ნაწილობრივ</w:t>
            </w:r>
          </w:p>
          <w:p w:rsidR="00CD437C" w:rsidRDefault="00CD437C" w:rsidP="00FD2A9B">
            <w:pPr>
              <w:tabs>
                <w:tab w:val="left" w:pos="0"/>
              </w:tabs>
              <w:spacing w:line="276" w:lineRule="auto"/>
              <w:jc w:val="both"/>
              <w:rPr>
                <w:rFonts w:ascii="Sylfaen" w:hAnsi="Sylfaen" w:cstheme="minorHAnsi"/>
                <w:bCs/>
                <w:noProof/>
                <w:lang w:val="ka-GE"/>
              </w:rPr>
            </w:pPr>
          </w:p>
          <w:p w:rsidR="00683C42" w:rsidRPr="00A822B0" w:rsidRDefault="00CD437C" w:rsidP="00FD2A9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 xml:space="preserve">ვეტერანების საქმეთა </w:t>
            </w:r>
            <w:r w:rsidR="00FD2A9B">
              <w:rPr>
                <w:rFonts w:ascii="Sylfaen" w:hAnsi="Sylfaen" w:cstheme="minorHAnsi"/>
                <w:bCs/>
                <w:noProof/>
                <w:lang w:val="ka-GE"/>
              </w:rPr>
              <w:t>სახელ</w:t>
            </w:r>
            <w:r>
              <w:rPr>
                <w:rFonts w:ascii="Sylfaen" w:hAnsi="Sylfaen" w:cstheme="minorHAnsi"/>
                <w:bCs/>
                <w:noProof/>
                <w:lang w:val="ka-GE"/>
              </w:rPr>
              <w:t>მ</w:t>
            </w:r>
            <w:r w:rsidR="00FD2A9B">
              <w:rPr>
                <w:rFonts w:ascii="Sylfaen" w:hAnsi="Sylfaen" w:cstheme="minorHAnsi"/>
                <w:bCs/>
                <w:noProof/>
                <w:lang w:val="ka-GE"/>
              </w:rPr>
              <w:t>წ</w:t>
            </w:r>
            <w:r>
              <w:rPr>
                <w:rFonts w:ascii="Sylfaen" w:hAnsi="Sylfaen" w:cstheme="minorHAnsi"/>
                <w:bCs/>
                <w:noProof/>
                <w:lang w:val="ka-GE"/>
              </w:rPr>
              <w:t xml:space="preserve">იფო </w:t>
            </w:r>
            <w:r w:rsidR="00354D90">
              <w:rPr>
                <w:rFonts w:ascii="Sylfaen" w:hAnsi="Sylfaen" w:cstheme="minorHAnsi"/>
                <w:bCs/>
                <w:noProof/>
                <w:lang w:val="ka-GE"/>
              </w:rPr>
              <w:t>სამსახური</w:t>
            </w:r>
            <w:r w:rsidR="00FD2A9B">
              <w:rPr>
                <w:rFonts w:ascii="Sylfaen" w:hAnsi="Sylfaen" w:cstheme="minorHAnsi"/>
                <w:bCs/>
                <w:noProof/>
                <w:lang w:val="ka-GE"/>
              </w:rPr>
              <w:t>ს</w:t>
            </w:r>
            <w:r>
              <w:rPr>
                <w:rFonts w:ascii="Sylfaen" w:hAnsi="Sylfaen" w:cstheme="minorHAnsi"/>
                <w:bCs/>
                <w:noProof/>
                <w:lang w:val="ka-GE"/>
              </w:rPr>
              <w:t xml:space="preserve"> დაფინანსება ბიუჯეტის წინა წარდგენასთან შედარებით გაზრდილია დამატებით 500,0 ათასი ლარით და შეადგენს 19,0 მლნ ლარს</w:t>
            </w:r>
            <w:r w:rsidR="00354D90">
              <w:rPr>
                <w:rFonts w:ascii="Sylfaen" w:hAnsi="Sylfaen" w:cstheme="minorHAnsi"/>
                <w:bCs/>
                <w:noProof/>
                <w:lang w:val="ka-GE"/>
              </w:rPr>
              <w:t>. ამასთან, წინა წელთან შედარებით დაფინანსება გაზრდილია 4,0 მლნ ლარით</w:t>
            </w:r>
            <w:r w:rsidR="00652C44">
              <w:rPr>
                <w:rFonts w:ascii="Sylfaen" w:hAnsi="Sylfaen" w:cstheme="minorHAnsi"/>
                <w:bCs/>
                <w:noProof/>
                <w:lang w:val="ka-GE"/>
              </w:rPr>
              <w:t xml:space="preserve"> (26%-ზე მეტით)</w:t>
            </w:r>
            <w:r w:rsidR="00FD2A9B">
              <w:rPr>
                <w:rFonts w:ascii="Sylfaen" w:hAnsi="Sylfaen" w:cstheme="minorHAnsi"/>
                <w:bCs/>
                <w:noProof/>
                <w:lang w:val="ka-GE"/>
              </w:rPr>
              <w:t>.</w:t>
            </w:r>
          </w:p>
        </w:tc>
      </w:tr>
      <w:tr w:rsidR="00C64D86" w:rsidRPr="00A822B0" w:rsidTr="00DE2F3B">
        <w:tc>
          <w:tcPr>
            <w:tcW w:w="169" w:type="pct"/>
            <w:vAlign w:val="center"/>
          </w:tcPr>
          <w:p w:rsidR="00C64D86" w:rsidRPr="00A822B0" w:rsidRDefault="00726434" w:rsidP="00FD2A9B">
            <w:pPr>
              <w:tabs>
                <w:tab w:val="left" w:pos="0"/>
              </w:tabs>
              <w:spacing w:line="276" w:lineRule="auto"/>
              <w:jc w:val="both"/>
              <w:rPr>
                <w:rFonts w:ascii="Sylfaen" w:hAnsi="Sylfaen" w:cstheme="minorHAnsi"/>
                <w:bCs/>
                <w:noProof/>
              </w:rPr>
            </w:pPr>
            <w:r w:rsidRPr="00A822B0">
              <w:rPr>
                <w:rFonts w:ascii="Sylfaen" w:hAnsi="Sylfaen" w:cstheme="minorHAnsi"/>
                <w:bCs/>
                <w:noProof/>
              </w:rPr>
              <w:t>5</w:t>
            </w:r>
          </w:p>
        </w:tc>
        <w:tc>
          <w:tcPr>
            <w:tcW w:w="2356" w:type="pct"/>
          </w:tcPr>
          <w:p w:rsidR="00C64D86" w:rsidRPr="00DE2F3B" w:rsidRDefault="00403631" w:rsidP="00FD2A9B">
            <w:pPr>
              <w:tabs>
                <w:tab w:val="left" w:pos="0"/>
              </w:tabs>
              <w:spacing w:line="276" w:lineRule="auto"/>
              <w:jc w:val="both"/>
              <w:rPr>
                <w:rFonts w:ascii="Sylfaen" w:hAnsi="Sylfaen" w:cstheme="minorHAnsi"/>
                <w:bCs/>
                <w:noProof/>
                <w:lang w:val="ka-GE"/>
              </w:rPr>
            </w:pPr>
            <w:r w:rsidRPr="00403631">
              <w:rPr>
                <w:rFonts w:ascii="Sylfaen" w:hAnsi="Sylfaen" w:cstheme="minorHAnsi"/>
                <w:bCs/>
                <w:noProof/>
                <w:lang w:val="ka-GE"/>
              </w:rPr>
              <w:t xml:space="preserve">საქართველოს მთავრობა ეთანხმება კომიტეტის რეკომენდაციას </w:t>
            </w:r>
            <w:r w:rsidRPr="00403631">
              <w:rPr>
                <w:rFonts w:ascii="Sylfaen" w:hAnsi="Sylfaen" w:cstheme="minorHAnsi"/>
                <w:b/>
                <w:bCs/>
                <w:noProof/>
                <w:lang w:val="ka-GE"/>
              </w:rPr>
              <w:t>სკოლებში ბავშვთა უფასო კვების  საკითხის მოგვარებას</w:t>
            </w:r>
            <w:r w:rsidRPr="00403631">
              <w:rPr>
                <w:rFonts w:ascii="Sylfaen" w:hAnsi="Sylfaen" w:cstheme="minorHAnsi"/>
                <w:bCs/>
                <w:noProof/>
                <w:lang w:val="ka-GE"/>
              </w:rPr>
              <w:t xml:space="preserve">, რაც საჭიროებს  კომპლექსურ მიდგომასა და  მნიშვნელოვანი ოდენობის ფინანსურ რესურსებს. აუცილებლობად მიგვაჩნია ამ </w:t>
            </w:r>
            <w:r w:rsidRPr="00403631">
              <w:rPr>
                <w:rFonts w:ascii="Sylfaen" w:hAnsi="Sylfaen" w:cstheme="minorHAnsi"/>
                <w:b/>
                <w:bCs/>
                <w:noProof/>
                <w:lang w:val="ka-GE"/>
              </w:rPr>
              <w:t>მიმართულებით 2024 წელს გადაიდგას ქმედითი ნაბიჯები  ისე, რომ შესაბამისი პროგრამა  ამოქმედდეს უკვე 2025 წლიდან</w:t>
            </w:r>
          </w:p>
        </w:tc>
        <w:tc>
          <w:tcPr>
            <w:tcW w:w="2475" w:type="pct"/>
          </w:tcPr>
          <w:p w:rsidR="00354D90" w:rsidRPr="00652C44" w:rsidRDefault="00354D90" w:rsidP="00FD2A9B">
            <w:pPr>
              <w:tabs>
                <w:tab w:val="left" w:pos="0"/>
              </w:tabs>
              <w:spacing w:line="276" w:lineRule="auto"/>
              <w:jc w:val="both"/>
              <w:rPr>
                <w:rFonts w:ascii="Sylfaen" w:hAnsi="Sylfaen" w:cstheme="minorHAnsi"/>
                <w:b/>
                <w:bCs/>
                <w:noProof/>
                <w:lang w:val="ka-GE"/>
              </w:rPr>
            </w:pPr>
            <w:r w:rsidRPr="00652C44">
              <w:rPr>
                <w:rFonts w:ascii="Sylfaen" w:hAnsi="Sylfaen" w:cstheme="minorHAnsi"/>
                <w:b/>
                <w:bCs/>
                <w:noProof/>
                <w:lang w:val="ka-GE"/>
              </w:rPr>
              <w:t>ამ ეტაპზე არ არის გათვალისწინებული</w:t>
            </w:r>
          </w:p>
          <w:p w:rsidR="00354D90" w:rsidRPr="00652C44" w:rsidRDefault="00354D90" w:rsidP="00FD2A9B">
            <w:pPr>
              <w:tabs>
                <w:tab w:val="left" w:pos="0"/>
              </w:tabs>
              <w:spacing w:line="276" w:lineRule="auto"/>
              <w:jc w:val="both"/>
              <w:rPr>
                <w:rFonts w:ascii="Sylfaen" w:hAnsi="Sylfaen" w:cstheme="minorHAnsi"/>
                <w:bCs/>
                <w:noProof/>
                <w:lang w:val="ka-GE"/>
              </w:rPr>
            </w:pPr>
            <w:r w:rsidRPr="00652C44">
              <w:rPr>
                <w:rFonts w:ascii="Sylfaen" w:hAnsi="Sylfaen" w:cstheme="minorHAnsi"/>
                <w:bCs/>
                <w:noProof/>
                <w:lang w:val="ka-GE"/>
              </w:rPr>
              <w:t>საჯარო სკოლებში ბავშვების კვებით უზრუნველყოფა მნიშვნელოვანი საკითხია, თუმცა აღსანიშნავია რომ სრულყოფილი კვებით უზრუნველყოფისთვის საჭირო ინფრასტრუქტურა ამ ეტაპზე საჯარო სკოლებში არ არსებობს. აქვე გასათვალისწინებელია, რომ მსგავსი შინაარსის პროგრამის დაწყება ვერ განხორციელდება საპილოტედ, მხოლოდ იმ სკოლებში, სადაც შესაბამისი ინფრასტრუქტურა არსებობს.</w:t>
            </w:r>
          </w:p>
          <w:p w:rsidR="00683C42" w:rsidRPr="00354D90" w:rsidRDefault="00354D90" w:rsidP="00FD2A9B">
            <w:pPr>
              <w:tabs>
                <w:tab w:val="left" w:pos="0"/>
              </w:tabs>
              <w:spacing w:line="276" w:lineRule="auto"/>
              <w:jc w:val="both"/>
              <w:rPr>
                <w:rFonts w:ascii="Sylfaen" w:hAnsi="Sylfaen" w:cstheme="minorHAnsi"/>
                <w:bCs/>
                <w:noProof/>
                <w:highlight w:val="yellow"/>
                <w:lang w:val="ka-GE"/>
              </w:rPr>
            </w:pPr>
            <w:r w:rsidRPr="00652C44">
              <w:rPr>
                <w:rFonts w:ascii="Sylfaen" w:hAnsi="Sylfaen" w:cstheme="minorHAnsi"/>
                <w:bCs/>
                <w:noProof/>
                <w:lang w:val="ka-GE"/>
              </w:rPr>
              <w:lastRenderedPageBreak/>
              <w:t>მიუხედავად ზემოაღნიშნულისა, საქართველოს მთავრობა ამ მიმართულებით მაქსიმალურად გააქტიურებს ძალისხმევას და 2024 წლის განმავლობაში გადადგამს ქმედით ნაბიჯებს მომდევნო წლებში საჯარო სკოლებში კვების უზრუნველყოფის მიზნით.</w:t>
            </w:r>
          </w:p>
        </w:tc>
      </w:tr>
      <w:tr w:rsidR="00C64D86" w:rsidRPr="00A822B0" w:rsidTr="00DE2F3B">
        <w:tc>
          <w:tcPr>
            <w:tcW w:w="169" w:type="pct"/>
            <w:vAlign w:val="center"/>
          </w:tcPr>
          <w:p w:rsidR="00C64D86" w:rsidRPr="00A822B0" w:rsidRDefault="00807BBE" w:rsidP="00FD2A9B">
            <w:pPr>
              <w:tabs>
                <w:tab w:val="left" w:pos="0"/>
              </w:tabs>
              <w:spacing w:line="276" w:lineRule="auto"/>
              <w:jc w:val="both"/>
              <w:rPr>
                <w:rFonts w:ascii="Sylfaen" w:hAnsi="Sylfaen" w:cstheme="minorHAnsi"/>
                <w:bCs/>
                <w:noProof/>
              </w:rPr>
            </w:pPr>
            <w:r w:rsidRPr="00A822B0">
              <w:rPr>
                <w:rFonts w:ascii="Sylfaen" w:hAnsi="Sylfaen" w:cstheme="minorHAnsi"/>
                <w:bCs/>
                <w:noProof/>
              </w:rPr>
              <w:lastRenderedPageBreak/>
              <w:t>6</w:t>
            </w:r>
          </w:p>
        </w:tc>
        <w:tc>
          <w:tcPr>
            <w:tcW w:w="2356" w:type="pct"/>
          </w:tcPr>
          <w:p w:rsidR="00C64D86" w:rsidRPr="00DE2F3B" w:rsidRDefault="00403631" w:rsidP="00FD2A9B">
            <w:pPr>
              <w:tabs>
                <w:tab w:val="left" w:pos="0"/>
              </w:tabs>
              <w:spacing w:line="276" w:lineRule="auto"/>
              <w:jc w:val="both"/>
              <w:rPr>
                <w:rFonts w:ascii="Sylfaen" w:hAnsi="Sylfaen" w:cstheme="minorHAnsi"/>
                <w:bCs/>
                <w:noProof/>
                <w:lang w:val="ka-GE"/>
              </w:rPr>
            </w:pPr>
            <w:r w:rsidRPr="00403631">
              <w:rPr>
                <w:rFonts w:ascii="Sylfaen" w:hAnsi="Sylfaen" w:cstheme="minorHAnsi"/>
                <w:b/>
                <w:bCs/>
                <w:noProof/>
                <w:lang w:val="ka-GE"/>
              </w:rPr>
              <w:t>ქვეყნის დემოგრაფიულ ვითარებასთან</w:t>
            </w:r>
            <w:r w:rsidRPr="00403631">
              <w:rPr>
                <w:rFonts w:ascii="Sylfaen" w:hAnsi="Sylfaen" w:cstheme="minorHAnsi"/>
                <w:bCs/>
                <w:noProof/>
                <w:lang w:val="ka-GE"/>
              </w:rPr>
              <w:t xml:space="preserve"> დაკავშირებით კომიტეტის რეკომენდაციას საქართველოს მთავრობა ეთანხმება. ეს საკითხი ერთ-ერთი ყველაზე აქტუალურია და </w:t>
            </w:r>
            <w:r w:rsidRPr="00403631">
              <w:rPr>
                <w:rFonts w:ascii="Sylfaen" w:hAnsi="Sylfaen" w:cstheme="minorHAnsi"/>
                <w:b/>
                <w:bCs/>
                <w:noProof/>
                <w:lang w:val="ka-GE"/>
              </w:rPr>
              <w:t>საჭიროებს კომპლექსურ მიდგომასა და მომავალში მეტ დაფინანსებას</w:t>
            </w:r>
          </w:p>
        </w:tc>
        <w:tc>
          <w:tcPr>
            <w:tcW w:w="2475" w:type="pct"/>
          </w:tcPr>
          <w:p w:rsidR="00683C42" w:rsidRPr="00683C42" w:rsidRDefault="00081F36" w:rsidP="00FD2A9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კომპლექსური მიდგომების და შედეგზე ორიენტირებული პროგრამების ჩამოყალიბების მიზნით პრემიერ</w:t>
            </w:r>
            <w:r w:rsidR="00FD2A9B">
              <w:rPr>
                <w:rFonts w:ascii="Sylfaen" w:hAnsi="Sylfaen" w:cstheme="minorHAnsi"/>
                <w:bCs/>
                <w:noProof/>
                <w:lang w:val="ka-GE"/>
              </w:rPr>
              <w:t xml:space="preserve"> </w:t>
            </w:r>
            <w:r>
              <w:rPr>
                <w:rFonts w:ascii="Sylfaen" w:hAnsi="Sylfaen" w:cstheme="minorHAnsi"/>
                <w:bCs/>
                <w:noProof/>
                <w:lang w:val="ka-GE"/>
              </w:rPr>
              <w:t>მინისტრთან შექმნილია სამთავრობო კომისია. კომისიისათვის შესაბამისი ინიციატივებისა და ანალიტიკური ინფორმაციის მიწოდების მიზნით ჩამოყალიბებულია უწყებათაშორისი სამუშაო ჯგუფები და ამ მიმართულებით აქტიურად გაგრძელდება მუშაობა 2024 წლის განმავლობაში.</w:t>
            </w:r>
          </w:p>
        </w:tc>
      </w:tr>
      <w:tr w:rsidR="00586E8B" w:rsidRPr="00A822B0" w:rsidTr="00DE2F3B">
        <w:tc>
          <w:tcPr>
            <w:tcW w:w="169" w:type="pct"/>
            <w:vAlign w:val="center"/>
          </w:tcPr>
          <w:p w:rsidR="00586E8B" w:rsidRPr="00A822B0" w:rsidRDefault="00586E8B" w:rsidP="00FD2A9B">
            <w:pPr>
              <w:tabs>
                <w:tab w:val="left" w:pos="0"/>
              </w:tabs>
              <w:spacing w:line="276" w:lineRule="auto"/>
              <w:jc w:val="both"/>
              <w:rPr>
                <w:rFonts w:ascii="Sylfaen" w:hAnsi="Sylfaen" w:cstheme="minorHAnsi"/>
                <w:bCs/>
                <w:noProof/>
              </w:rPr>
            </w:pPr>
            <w:r w:rsidRPr="00A822B0">
              <w:rPr>
                <w:rFonts w:ascii="Sylfaen" w:hAnsi="Sylfaen" w:cstheme="minorHAnsi"/>
                <w:bCs/>
                <w:noProof/>
              </w:rPr>
              <w:t>7</w:t>
            </w:r>
          </w:p>
        </w:tc>
        <w:tc>
          <w:tcPr>
            <w:tcW w:w="2356" w:type="pct"/>
          </w:tcPr>
          <w:p w:rsidR="00586E8B" w:rsidRPr="00A822B0" w:rsidRDefault="00403631" w:rsidP="00FD2A9B">
            <w:pPr>
              <w:tabs>
                <w:tab w:val="left" w:pos="0"/>
              </w:tabs>
              <w:spacing w:line="276" w:lineRule="auto"/>
              <w:jc w:val="both"/>
              <w:rPr>
                <w:rFonts w:ascii="Sylfaen" w:hAnsi="Sylfaen" w:cstheme="minorHAnsi"/>
                <w:bCs/>
                <w:noProof/>
                <w:lang w:val="ka-GE"/>
              </w:rPr>
            </w:pPr>
            <w:r w:rsidRPr="00403631">
              <w:rPr>
                <w:rFonts w:ascii="Sylfaen" w:hAnsi="Sylfaen" w:cstheme="minorHAnsi"/>
                <w:bCs/>
                <w:noProof/>
                <w:lang w:val="ka-GE"/>
              </w:rPr>
              <w:t xml:space="preserve">წინა წლების ბიუჯეტის პროექტებზე დასკვნებში დაფიქსირდა, რომ მუნიციპალიტეტებზე დელეგირებული უფლებამოსილებების (საზოგადოებრივი ჯანდაცვა, სამხედრო ვალდებულებები და სხვა)  განსახორციელებლად გადაცემული მიზნობრივი ტრანსფერების ოდენობა წლების განმავლობაში არ არის საკმარისი და მუნიციპალიტეტებს საკუთარი ბიუჯეტებიდან უწევთ ხარჯების გაწევა. კარგია, რომ 2024 წლიდან კანონმდებლობაში განხორციელებული ცვლილებების შედეგად სამხედრო ვალდებულებებთან დაკავშირებული უფლებამოსილებას განახორციელებს საქართველოს თავდაცვის სამინისტრო. ასევე, </w:t>
            </w:r>
            <w:r w:rsidRPr="00403631">
              <w:rPr>
                <w:rFonts w:ascii="Sylfaen" w:hAnsi="Sylfaen" w:cstheme="minorHAnsi"/>
                <w:b/>
                <w:bCs/>
                <w:noProof/>
                <w:lang w:val="ka-GE"/>
              </w:rPr>
              <w:t>მიზანშეწონილია, რომ საზოგადოებრივ ჯანდაცვასთან დაკავშირებული დელეგირებული უფლებამოსილებებიც გადაეცეს ცენტრალურ ხელისუფლებას</w:t>
            </w:r>
          </w:p>
        </w:tc>
        <w:tc>
          <w:tcPr>
            <w:tcW w:w="2475" w:type="pct"/>
          </w:tcPr>
          <w:p w:rsidR="00CD437C" w:rsidRDefault="00CD437C" w:rsidP="00FD2A9B">
            <w:pPr>
              <w:tabs>
                <w:tab w:val="left" w:pos="0"/>
              </w:tabs>
              <w:spacing w:line="276" w:lineRule="auto"/>
              <w:jc w:val="both"/>
              <w:rPr>
                <w:rFonts w:ascii="Sylfaen" w:hAnsi="Sylfaen" w:cstheme="minorHAnsi"/>
                <w:b/>
                <w:bCs/>
                <w:noProof/>
                <w:lang w:val="ka-GE"/>
              </w:rPr>
            </w:pPr>
            <w:r w:rsidRPr="00CD437C">
              <w:rPr>
                <w:rFonts w:ascii="Sylfaen" w:hAnsi="Sylfaen" w:cstheme="minorHAnsi"/>
                <w:b/>
                <w:bCs/>
                <w:noProof/>
                <w:lang w:val="ka-GE"/>
              </w:rPr>
              <w:t>გათვალისწინებულია</w:t>
            </w:r>
            <w:r w:rsidR="00652C44">
              <w:rPr>
                <w:rFonts w:ascii="Sylfaen" w:hAnsi="Sylfaen" w:cstheme="minorHAnsi"/>
                <w:b/>
                <w:bCs/>
                <w:noProof/>
                <w:lang w:val="ka-GE"/>
              </w:rPr>
              <w:t xml:space="preserve"> ნაწილობრივ</w:t>
            </w:r>
          </w:p>
          <w:p w:rsidR="00CF4C4F" w:rsidRPr="00CD437C" w:rsidRDefault="00CF4C4F" w:rsidP="00FD2A9B">
            <w:pPr>
              <w:tabs>
                <w:tab w:val="left" w:pos="0"/>
              </w:tabs>
              <w:spacing w:line="276" w:lineRule="auto"/>
              <w:jc w:val="both"/>
              <w:rPr>
                <w:rFonts w:ascii="Sylfaen" w:hAnsi="Sylfaen" w:cstheme="minorHAnsi"/>
                <w:b/>
                <w:bCs/>
                <w:noProof/>
                <w:lang w:val="ka-GE"/>
              </w:rPr>
            </w:pPr>
          </w:p>
          <w:p w:rsidR="00652C44" w:rsidRDefault="00652C44" w:rsidP="00FD2A9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წინა წლებისგან განსხვავებით, 2023 წელს საზოგადოებრივ ჯანდაცვასთან დაკავშირებული მიზნობრივი ტრანსფერის გაანგარიშება განხორციელდა ახალი ფორმულით, შედეგად გასულ წელს გაიზარდა ტრანსფერის მოცულობაც (8,0 მლნ ლარიდან 13 მლნ ლარამდე). აღნიშნული ფორმულა ითვალისწინებს დასაქმებულთა საბაზო ხელფასის მატებასაც, შედეგად ტრანსფერის გაზრდილი მოცულობა გათვალისწინებულია 2024 წელსაც.</w:t>
            </w:r>
          </w:p>
          <w:p w:rsidR="00683C42" w:rsidRDefault="00652C44" w:rsidP="00FD2A9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 xml:space="preserve">ამასთან, </w:t>
            </w:r>
            <w:r w:rsidR="00CD437C" w:rsidRPr="00CD437C">
              <w:rPr>
                <w:rFonts w:ascii="Sylfaen" w:hAnsi="Sylfaen" w:cstheme="minorHAnsi"/>
                <w:bCs/>
                <w:noProof/>
                <w:lang w:val="ka-GE"/>
              </w:rPr>
              <w:t>საზოგადოებრივ ჯანდაცვასთან დაკავშირებული დელეგირებული უფლებამოსილებებ</w:t>
            </w:r>
            <w:r w:rsidR="00CD437C">
              <w:rPr>
                <w:rFonts w:ascii="Sylfaen" w:hAnsi="Sylfaen" w:cstheme="minorHAnsi"/>
                <w:bCs/>
                <w:noProof/>
                <w:lang w:val="ka-GE"/>
              </w:rPr>
              <w:t xml:space="preserve">ის განსახორციელებლად მუნიციპალიტეტებისთვის გადასაცემი ტრანსფერი გათვალისწინებულია </w:t>
            </w:r>
            <w:r w:rsidR="00CD437C" w:rsidRPr="00CD437C">
              <w:rPr>
                <w:rFonts w:ascii="Sylfaen" w:hAnsi="Sylfaen" w:cstheme="minorHAnsi"/>
                <w:bCs/>
                <w:noProof/>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00CD437C">
              <w:rPr>
                <w:rFonts w:ascii="Sylfaen" w:hAnsi="Sylfaen" w:cstheme="minorHAnsi"/>
                <w:bCs/>
                <w:noProof/>
                <w:lang w:val="ka-GE"/>
              </w:rPr>
              <w:t xml:space="preserve">ს ასიგნებებში, საზოგადოებრივი ჯანმრთელობის დაცვის პროგრამის </w:t>
            </w:r>
            <w:r w:rsidR="00CD437C">
              <w:rPr>
                <w:rFonts w:ascii="Sylfaen" w:hAnsi="Sylfaen" w:cstheme="minorHAnsi"/>
                <w:bCs/>
                <w:noProof/>
                <w:lang w:val="ka-GE"/>
              </w:rPr>
              <w:lastRenderedPageBreak/>
              <w:t>ფარგლებში ცალკე ქვეპროგრამის სახით, რისთვისაც გათვალისწინებულია</w:t>
            </w:r>
            <w:r>
              <w:rPr>
                <w:rFonts w:ascii="Sylfaen" w:hAnsi="Sylfaen" w:cstheme="minorHAnsi"/>
                <w:bCs/>
                <w:noProof/>
                <w:lang w:val="ka-GE"/>
              </w:rPr>
              <w:t xml:space="preserve"> 14,2</w:t>
            </w:r>
            <w:r w:rsidR="00CD437C">
              <w:rPr>
                <w:rFonts w:ascii="Sylfaen" w:hAnsi="Sylfaen" w:cstheme="minorHAnsi"/>
                <w:bCs/>
                <w:noProof/>
                <w:lang w:val="ka-GE"/>
              </w:rPr>
              <w:t xml:space="preserve"> მლნ ლარი.</w:t>
            </w:r>
          </w:p>
          <w:p w:rsidR="00652C44" w:rsidRPr="00CD437C" w:rsidRDefault="00652C44" w:rsidP="00FD2A9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რაც შეეხება ფუნქციის სრულად ცენტრალურ ხელისუფლებაზე გადაცემას, აღნიშნული საჭიროებს საკანონმდებლო ცვლილებებს და მისი განხილვა უნდა განხორციელდეს დეცენტრალიზაციის სტრატეგიასთან ერთად</w:t>
            </w:r>
            <w:r w:rsidR="00CF4C4F">
              <w:rPr>
                <w:rFonts w:ascii="Sylfaen" w:hAnsi="Sylfaen" w:cstheme="minorHAnsi"/>
                <w:bCs/>
                <w:noProof/>
                <w:lang w:val="ka-GE"/>
              </w:rPr>
              <w:t>, შესაბამისად ბიუჯეტის საბოლოო ვარიანტის მომზადების პროცესში, დროის მცირე პერიოდის გათვალისწინებით, მსგავსი საკითხების განხილვა და შეჯერება არამიზანშეწონილია</w:t>
            </w:r>
            <w:r w:rsidR="00FD2A9B">
              <w:rPr>
                <w:rFonts w:ascii="Sylfaen" w:hAnsi="Sylfaen" w:cstheme="minorHAnsi"/>
                <w:bCs/>
                <w:noProof/>
                <w:lang w:val="ka-GE"/>
              </w:rPr>
              <w:t>.</w:t>
            </w:r>
          </w:p>
        </w:tc>
      </w:tr>
      <w:tr w:rsidR="00586E8B" w:rsidRPr="00A822B0" w:rsidTr="00DE2F3B">
        <w:tc>
          <w:tcPr>
            <w:tcW w:w="169" w:type="pct"/>
            <w:vAlign w:val="center"/>
          </w:tcPr>
          <w:p w:rsidR="00586E8B" w:rsidRPr="00A822B0" w:rsidRDefault="00586E8B" w:rsidP="00FD2A9B">
            <w:pPr>
              <w:tabs>
                <w:tab w:val="left" w:pos="0"/>
              </w:tabs>
              <w:spacing w:line="276" w:lineRule="auto"/>
              <w:jc w:val="both"/>
              <w:rPr>
                <w:rFonts w:ascii="Sylfaen" w:hAnsi="Sylfaen" w:cstheme="minorHAnsi"/>
                <w:bCs/>
                <w:noProof/>
              </w:rPr>
            </w:pPr>
            <w:r w:rsidRPr="00A822B0">
              <w:rPr>
                <w:rFonts w:ascii="Sylfaen" w:hAnsi="Sylfaen" w:cstheme="minorHAnsi"/>
                <w:bCs/>
                <w:noProof/>
              </w:rPr>
              <w:lastRenderedPageBreak/>
              <w:t>8</w:t>
            </w:r>
          </w:p>
        </w:tc>
        <w:tc>
          <w:tcPr>
            <w:tcW w:w="2356" w:type="pct"/>
          </w:tcPr>
          <w:p w:rsidR="00586E8B" w:rsidRPr="00DE2F3B" w:rsidRDefault="00403631" w:rsidP="00FD2A9B">
            <w:pPr>
              <w:tabs>
                <w:tab w:val="left" w:pos="0"/>
              </w:tabs>
              <w:spacing w:line="276" w:lineRule="auto"/>
              <w:jc w:val="both"/>
              <w:rPr>
                <w:rFonts w:ascii="Sylfaen" w:hAnsi="Sylfaen" w:cstheme="minorHAnsi"/>
                <w:bCs/>
                <w:noProof/>
                <w:lang w:val="ka-GE"/>
              </w:rPr>
            </w:pPr>
            <w:r w:rsidRPr="00403631">
              <w:rPr>
                <w:rFonts w:ascii="Sylfaen" w:hAnsi="Sylfaen" w:cstheme="minorHAnsi"/>
                <w:bCs/>
                <w:noProof/>
                <w:lang w:val="ka-GE"/>
              </w:rPr>
              <w:t xml:space="preserve">ბიუჯეტის პროექტზე კომიტეტის მიერ მომზადებულ დასკვნაში  დაფიქსირებულია ბიუჯეტის </w:t>
            </w:r>
            <w:r w:rsidRPr="00403631">
              <w:rPr>
                <w:rFonts w:ascii="Sylfaen" w:hAnsi="Sylfaen" w:cstheme="minorHAnsi"/>
                <w:b/>
                <w:bCs/>
                <w:noProof/>
                <w:lang w:val="ka-GE"/>
              </w:rPr>
              <w:t>პროგრამული ფორმატის შემდგომში დახვეწისა და გაუმჯობესების საჭიროება.</w:t>
            </w:r>
            <w:r w:rsidRPr="00403631">
              <w:rPr>
                <w:rFonts w:ascii="Sylfaen" w:hAnsi="Sylfaen" w:cstheme="minorHAnsi"/>
                <w:bCs/>
                <w:noProof/>
                <w:lang w:val="ka-GE"/>
              </w:rPr>
              <w:t xml:space="preserve"> საქართველოს მთავრობა, კერძოდ, საქართველოს ფინანსთა სამინისტრო აქტიურად მუშაობს ამ მიმართულებით, რაც მისასალმებელია. ამ საკითხის მოსაწესრიგებლად  მნიშვნელოვანია მაქსიმალური ყურადღება და შესაბამისი კონტროლი</w:t>
            </w:r>
          </w:p>
        </w:tc>
        <w:tc>
          <w:tcPr>
            <w:tcW w:w="2475" w:type="pct"/>
          </w:tcPr>
          <w:p w:rsidR="00354D90" w:rsidRDefault="00354D90" w:rsidP="00FD2A9B">
            <w:pPr>
              <w:tabs>
                <w:tab w:val="left" w:pos="0"/>
              </w:tabs>
              <w:spacing w:line="276" w:lineRule="auto"/>
              <w:jc w:val="both"/>
              <w:rPr>
                <w:rFonts w:ascii="Sylfaen" w:hAnsi="Sylfaen" w:cstheme="minorHAnsi"/>
                <w:b/>
                <w:bCs/>
                <w:noProof/>
                <w:lang w:val="ka-GE"/>
              </w:rPr>
            </w:pPr>
            <w:r w:rsidRPr="007E71FE">
              <w:rPr>
                <w:rFonts w:ascii="Sylfaen" w:hAnsi="Sylfaen" w:cstheme="minorHAnsi"/>
                <w:b/>
                <w:bCs/>
                <w:noProof/>
                <w:lang w:val="ka-GE"/>
              </w:rPr>
              <w:t>გათვალისწინებულია</w:t>
            </w:r>
          </w:p>
          <w:p w:rsidR="00354D90" w:rsidRDefault="00354D90" w:rsidP="00FD2A9B">
            <w:pPr>
              <w:tabs>
                <w:tab w:val="left" w:pos="0"/>
              </w:tabs>
              <w:spacing w:line="276" w:lineRule="auto"/>
              <w:jc w:val="both"/>
              <w:rPr>
                <w:rFonts w:ascii="Sylfaen" w:hAnsi="Sylfaen" w:cstheme="minorHAnsi"/>
                <w:bCs/>
                <w:noProof/>
                <w:lang w:val="ka-GE"/>
              </w:rPr>
            </w:pPr>
          </w:p>
          <w:p w:rsidR="00354D90" w:rsidRDefault="00354D90" w:rsidP="00FD2A9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საქართველოს ფინანსთა სამინისტრო, საჯარო ფინანსების მართვის რეფორმის 2023-2026 წლების სტრატეგიის ფარგლებში, ახორციელებს შესაბამის ღონისძიებებს პროგრამული ბიუჯეტის გაუმჯობესების მიზნით. ევროკავშირის დაფინანსებით, მსოფლიო ბანკის პროექტის ფარგლებში ექსპერტები ჩართულები არიან სამინისტროების პროგრამული ბიუჯეტის გაუმჯობესებაში. პარალელურად მიმდინარეობს პროგრამული ბიუჯეტის მეთოდოლოგიის განახლება.  ამასთან, აღსანიშნავია, რომ 2022 წლიდან მხარჯავ დაწესებულებებს ბიუჯეტის მართვის ელექტრონული სისტემის (</w:t>
            </w:r>
            <w:r>
              <w:rPr>
                <w:rFonts w:ascii="Sylfaen" w:hAnsi="Sylfaen" w:cstheme="minorHAnsi"/>
                <w:bCs/>
                <w:noProof/>
              </w:rPr>
              <w:t>ebudget)</w:t>
            </w:r>
            <w:r>
              <w:rPr>
                <w:rFonts w:ascii="Sylfaen" w:hAnsi="Sylfaen" w:cstheme="minorHAnsi"/>
                <w:bCs/>
                <w:noProof/>
                <w:lang w:val="ka-GE"/>
              </w:rPr>
              <w:t xml:space="preserve"> მეშვეობით შესაძლებლობა აქვთ თავიანთი პროგრამები/ქვეპროგრამები დააკავშირონ პოლიტიკის კლასიფიკატორთან (მ.შ. გაეროს მდგრადი განვითარების მიზნები </w:t>
            </w:r>
            <w:r w:rsidRPr="0009614F">
              <w:rPr>
                <w:rFonts w:ascii="Sylfaen" w:hAnsi="Sylfaen" w:cstheme="minorHAnsi"/>
                <w:bCs/>
                <w:noProof/>
                <w:lang w:val="ka-GE"/>
              </w:rPr>
              <w:t xml:space="preserve">- SDGs, </w:t>
            </w:r>
            <w:r>
              <w:rPr>
                <w:rFonts w:ascii="Sylfaen" w:hAnsi="Sylfaen" w:cstheme="minorHAnsi"/>
                <w:bCs/>
                <w:noProof/>
                <w:lang w:val="ka-GE"/>
              </w:rPr>
              <w:t xml:space="preserve">გენდერული თანასწორობა, კლიმატის ცვლილება და სხვა) და შესაბამისი ინფორმაცია ასახონ პროგრამული ბიუჯეტის დანართში. ამ მიმართულებითაც მიმდინარეობს აქტიური მუშაობა, მათ შორის ევროკავშირის, მსოფლიო ბანკის და გაეროს ქალთა ორგანიზაციის მხარდაჭერით, ასევე, კლიმატის ცვლილების ნაწილში </w:t>
            </w:r>
            <w:r>
              <w:rPr>
                <w:rFonts w:ascii="Sylfaen" w:hAnsi="Sylfaen" w:cstheme="minorHAnsi"/>
                <w:bCs/>
                <w:noProof/>
                <w:lang w:val="ka-GE"/>
              </w:rPr>
              <w:lastRenderedPageBreak/>
              <w:t xml:space="preserve">საქართველოს გარემოს დაცვისა და სოფლის მეურნეობის სამინისტროს, ხოლო გენდერული თანასწორობის საკითხებში საქართველოს მთავრობის ადმინისტრაციის ადამიანის უფლებათა სამდივნოს კოორდინაციით. </w:t>
            </w:r>
          </w:p>
          <w:p w:rsidR="00586E8B" w:rsidRPr="00A822B0" w:rsidRDefault="00354D90" w:rsidP="00FD2A9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ზემოაღნიშნულის გათვალისწინებით, ბიუჯეტზე თანდართულ დანართი ყოველწლიურად უმჯობესდება. პოლიტიკის კლასიფიკატორე</w:t>
            </w:r>
            <w:bookmarkStart w:id="0" w:name="_GoBack"/>
            <w:bookmarkEnd w:id="0"/>
            <w:r>
              <w:rPr>
                <w:rFonts w:ascii="Sylfaen" w:hAnsi="Sylfaen" w:cstheme="minorHAnsi"/>
                <w:bCs/>
                <w:noProof/>
                <w:lang w:val="ka-GE"/>
              </w:rPr>
              <w:t xml:space="preserve">ბთან კავშირები ასახულია წარმოდგენილ პროგრამული </w:t>
            </w:r>
            <w:r w:rsidR="00683391">
              <w:rPr>
                <w:rFonts w:ascii="Sylfaen" w:hAnsi="Sylfaen" w:cstheme="minorHAnsi"/>
                <w:bCs/>
                <w:noProof/>
                <w:lang w:val="ka-GE"/>
              </w:rPr>
              <w:t>ბიუჯ</w:t>
            </w:r>
            <w:r>
              <w:rPr>
                <w:rFonts w:ascii="Sylfaen" w:hAnsi="Sylfaen" w:cstheme="minorHAnsi"/>
                <w:bCs/>
                <w:noProof/>
                <w:lang w:val="ka-GE"/>
              </w:rPr>
              <w:t>ეტის დანართში, მათ შორის ევროკავშირის საბიუჯეტო დახმარების ფარგლებში გათვალისწინებული ვალდებულებების ფარგლებში ასახულია კავშირები გენდერულ თანასწორობასთან.</w:t>
            </w:r>
          </w:p>
        </w:tc>
      </w:tr>
      <w:tr w:rsidR="00586E8B" w:rsidRPr="00A822B0" w:rsidTr="00DE2F3B">
        <w:tc>
          <w:tcPr>
            <w:tcW w:w="169" w:type="pct"/>
            <w:vAlign w:val="center"/>
          </w:tcPr>
          <w:p w:rsidR="00586E8B" w:rsidRPr="00A822B0" w:rsidRDefault="00586E8B" w:rsidP="00FD2A9B">
            <w:pPr>
              <w:tabs>
                <w:tab w:val="left" w:pos="0"/>
              </w:tabs>
              <w:spacing w:line="276" w:lineRule="auto"/>
              <w:jc w:val="both"/>
              <w:rPr>
                <w:rFonts w:ascii="Sylfaen" w:hAnsi="Sylfaen" w:cstheme="minorHAnsi"/>
                <w:bCs/>
                <w:noProof/>
              </w:rPr>
            </w:pPr>
            <w:r w:rsidRPr="00A822B0">
              <w:rPr>
                <w:rFonts w:ascii="Sylfaen" w:hAnsi="Sylfaen" w:cstheme="minorHAnsi"/>
                <w:bCs/>
                <w:noProof/>
              </w:rPr>
              <w:lastRenderedPageBreak/>
              <w:t>9</w:t>
            </w:r>
          </w:p>
        </w:tc>
        <w:tc>
          <w:tcPr>
            <w:tcW w:w="2356" w:type="pct"/>
          </w:tcPr>
          <w:p w:rsidR="00586E8B" w:rsidRPr="00A822B0" w:rsidRDefault="00403631" w:rsidP="00FD2A9B">
            <w:pPr>
              <w:tabs>
                <w:tab w:val="left" w:pos="0"/>
              </w:tabs>
              <w:spacing w:line="276" w:lineRule="auto"/>
              <w:jc w:val="both"/>
              <w:rPr>
                <w:rFonts w:ascii="Sylfaen" w:hAnsi="Sylfaen" w:cstheme="minorHAnsi"/>
                <w:bCs/>
                <w:noProof/>
                <w:lang w:val="ka-GE"/>
              </w:rPr>
            </w:pPr>
            <w:r w:rsidRPr="00403631">
              <w:rPr>
                <w:rFonts w:ascii="Sylfaen" w:hAnsi="Sylfaen" w:cstheme="minorHAnsi"/>
                <w:bCs/>
                <w:noProof/>
                <w:lang w:val="ka-GE"/>
              </w:rPr>
              <w:t xml:space="preserve">კომიტეტს მიაჩნია, რომ მნიშვნელოვანია სახელმწიფო აუდიტის სამსახურის მიერ „საქართველოს 2024 წლის სახელმწიფო ბიუჯეტის შესახებ“ საქართველოს კანონის პროექტზე მომზადებულ დასკვნაში დაფიქსირებული რეკომენდაციები და წინადადებები. განსაკუთრებით  </w:t>
            </w:r>
            <w:r w:rsidRPr="00403631">
              <w:rPr>
                <w:rFonts w:ascii="Sylfaen" w:hAnsi="Sylfaen" w:cstheme="minorHAnsi"/>
                <w:b/>
                <w:bCs/>
                <w:noProof/>
                <w:lang w:val="ka-GE"/>
              </w:rPr>
              <w:t>საყურადღებოა სახელმწიფო ვალის, სახელმწიფო საწარმოებისა  და კაპიტალური ხარჯების დინამიკის მიმართ გამოთქმული რეკომენდაციები.</w:t>
            </w:r>
            <w:r w:rsidR="00FD2A9B">
              <w:rPr>
                <w:rFonts w:ascii="Sylfaen" w:hAnsi="Sylfaen" w:cstheme="minorHAnsi"/>
                <w:bCs/>
                <w:noProof/>
                <w:lang w:val="ka-GE"/>
              </w:rPr>
              <w:t xml:space="preserve"> </w:t>
            </w:r>
            <w:r w:rsidRPr="00403631">
              <w:rPr>
                <w:rFonts w:ascii="Sylfaen" w:hAnsi="Sylfaen" w:cstheme="minorHAnsi"/>
                <w:bCs/>
                <w:noProof/>
                <w:lang w:val="ka-GE"/>
              </w:rPr>
              <w:t xml:space="preserve">აღნიშნულის გათვალისწინება  დახვეწავს  და კიდევ უფრო ეფექტიანსა და გამჭვირვალეს გახდის ბიუჯეტის დაგეგმვისა და აღსრულების პროცესებს. </w:t>
            </w:r>
            <w:r w:rsidRPr="00403631">
              <w:rPr>
                <w:rFonts w:ascii="Sylfaen" w:hAnsi="Sylfaen" w:cstheme="minorHAnsi"/>
                <w:b/>
                <w:bCs/>
                <w:noProof/>
                <w:lang w:val="ka-GE"/>
              </w:rPr>
              <w:t>კომიტეტი გამოთქვამს მზადყოფნას საჭიროების შემთხვევაში ჩაერთოს სამუშაო პროცესში და შესაბამისი საკითხების მოგვარებაში</w:t>
            </w:r>
          </w:p>
        </w:tc>
        <w:tc>
          <w:tcPr>
            <w:tcW w:w="2475" w:type="pct"/>
          </w:tcPr>
          <w:p w:rsidR="00CF4C4F" w:rsidRDefault="00CF4C4F" w:rsidP="00FD2A9B">
            <w:pPr>
              <w:tabs>
                <w:tab w:val="left" w:pos="0"/>
              </w:tabs>
              <w:spacing w:line="276" w:lineRule="auto"/>
              <w:jc w:val="both"/>
              <w:rPr>
                <w:rFonts w:ascii="Sylfaen" w:hAnsi="Sylfaen" w:cstheme="minorHAnsi"/>
                <w:b/>
                <w:bCs/>
                <w:noProof/>
                <w:lang w:val="ka-GE"/>
              </w:rPr>
            </w:pPr>
            <w:r w:rsidRPr="00CD437C">
              <w:rPr>
                <w:rFonts w:ascii="Sylfaen" w:hAnsi="Sylfaen" w:cstheme="minorHAnsi"/>
                <w:b/>
                <w:bCs/>
                <w:noProof/>
                <w:lang w:val="ka-GE"/>
              </w:rPr>
              <w:t>გათვალისწინებულია</w:t>
            </w:r>
            <w:r>
              <w:rPr>
                <w:rFonts w:ascii="Sylfaen" w:hAnsi="Sylfaen" w:cstheme="minorHAnsi"/>
                <w:b/>
                <w:bCs/>
                <w:noProof/>
                <w:lang w:val="ka-GE"/>
              </w:rPr>
              <w:t xml:space="preserve"> ნაწილობრივ</w:t>
            </w:r>
          </w:p>
          <w:p w:rsidR="00EB6F46" w:rsidRDefault="00EB6F46" w:rsidP="00FD2A9B">
            <w:pPr>
              <w:tabs>
                <w:tab w:val="left" w:pos="0"/>
              </w:tabs>
              <w:spacing w:line="276" w:lineRule="auto"/>
              <w:jc w:val="both"/>
              <w:rPr>
                <w:rFonts w:ascii="Sylfaen" w:hAnsi="Sylfaen" w:cstheme="minorHAnsi"/>
                <w:bCs/>
                <w:noProof/>
                <w:lang w:val="ka-GE"/>
              </w:rPr>
            </w:pPr>
          </w:p>
          <w:p w:rsidR="00CF4C4F" w:rsidRDefault="00CF4C4F" w:rsidP="00FD2A9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ამ ეტაპზე მიმდინარეობს მუშაობა და მიმდინარე წლის ბოლომდე განხორციელდება ვალის მართვის სტრატეგიის განახლება. რაც შეეხება ვალის მდგრადობის ანალიზის განხორციელებას</w:t>
            </w:r>
            <w:r>
              <w:rPr>
                <w:rFonts w:ascii="Sylfaen" w:hAnsi="Sylfaen" w:cstheme="minorHAnsi"/>
                <w:bCs/>
                <w:noProof/>
              </w:rPr>
              <w:t xml:space="preserve"> </w:t>
            </w:r>
            <w:r>
              <w:rPr>
                <w:rFonts w:ascii="Sylfaen" w:hAnsi="Sylfaen" w:cstheme="minorHAnsi"/>
                <w:bCs/>
                <w:noProof/>
                <w:lang w:val="ka-GE"/>
              </w:rPr>
              <w:t>სავალუტო ფონდისა და მსოფლიო ბანკის განახლებული მეთოდოლოგიის შესაბამისად, აღნიშნულთან დაკავშირებით მუშაობა მიმდინარეობს ამ საფინანსო ინსტიტუტების ექ</w:t>
            </w:r>
            <w:r w:rsidR="00FD2A9B">
              <w:rPr>
                <w:rFonts w:ascii="Sylfaen" w:hAnsi="Sylfaen" w:cstheme="minorHAnsi"/>
                <w:bCs/>
                <w:noProof/>
                <w:lang w:val="ka-GE"/>
              </w:rPr>
              <w:t>ს</w:t>
            </w:r>
            <w:r>
              <w:rPr>
                <w:rFonts w:ascii="Sylfaen" w:hAnsi="Sylfaen" w:cstheme="minorHAnsi"/>
                <w:bCs/>
                <w:noProof/>
                <w:lang w:val="ka-GE"/>
              </w:rPr>
              <w:t>პერტებთან ერთად.</w:t>
            </w:r>
          </w:p>
          <w:p w:rsidR="00081F36" w:rsidRDefault="00CF4C4F" w:rsidP="00FD2A9B">
            <w:pPr>
              <w:tabs>
                <w:tab w:val="left" w:pos="0"/>
              </w:tabs>
              <w:spacing w:line="276" w:lineRule="auto"/>
              <w:jc w:val="both"/>
              <w:rPr>
                <w:rFonts w:ascii="Sylfaen" w:hAnsi="Sylfaen" w:cstheme="minorHAnsi"/>
                <w:bCs/>
                <w:noProof/>
                <w:lang w:val="ka-GE"/>
              </w:rPr>
            </w:pPr>
            <w:r>
              <w:rPr>
                <w:rFonts w:ascii="Sylfaen" w:hAnsi="Sylfaen" w:cstheme="minorHAnsi"/>
                <w:bCs/>
                <w:noProof/>
                <w:lang w:val="ka-GE"/>
              </w:rPr>
              <w:t>სახელმწიფო საწარმოებთან დაკავშირებით მომდევნო წელს ფინანსთა სამინისტრო აქტიურად იმუშავებს საკანონმდებლო ცვლილებების მომზადებაზე, რაც დაარეგულირებს მათ მიერ სესხის აღების საკითხებს</w:t>
            </w:r>
            <w:r w:rsidR="00081F36">
              <w:rPr>
                <w:rFonts w:ascii="Sylfaen" w:hAnsi="Sylfaen" w:cstheme="minorHAnsi"/>
                <w:bCs/>
                <w:noProof/>
                <w:lang w:val="ka-GE"/>
              </w:rPr>
              <w:t xml:space="preserve"> და მივესალმებით ამ პროცესში კომიტეტის ჩართულობას.</w:t>
            </w:r>
          </w:p>
          <w:p w:rsidR="00CF4C4F" w:rsidRPr="00FD2A9B" w:rsidRDefault="00CF4C4F" w:rsidP="00FD2A9B">
            <w:pPr>
              <w:tabs>
                <w:tab w:val="left" w:pos="0"/>
              </w:tabs>
              <w:spacing w:line="276" w:lineRule="auto"/>
              <w:jc w:val="both"/>
              <w:rPr>
                <w:rFonts w:ascii="Sylfaen" w:hAnsi="Sylfaen" w:cstheme="minorHAnsi"/>
                <w:bCs/>
                <w:noProof/>
              </w:rPr>
            </w:pPr>
            <w:r>
              <w:rPr>
                <w:rFonts w:ascii="Sylfaen" w:hAnsi="Sylfaen" w:cstheme="minorHAnsi"/>
                <w:bCs/>
                <w:noProof/>
                <w:lang w:val="ka-GE"/>
              </w:rPr>
              <w:t>ასევე</w:t>
            </w:r>
            <w:r w:rsidR="00FD2A9B">
              <w:rPr>
                <w:rFonts w:ascii="Sylfaen" w:hAnsi="Sylfaen" w:cstheme="minorHAnsi"/>
                <w:bCs/>
                <w:noProof/>
                <w:lang w:val="ka-GE"/>
              </w:rPr>
              <w:t>,</w:t>
            </w:r>
            <w:r>
              <w:rPr>
                <w:rFonts w:ascii="Sylfaen" w:hAnsi="Sylfaen" w:cstheme="minorHAnsi"/>
                <w:bCs/>
                <w:noProof/>
                <w:lang w:val="ka-GE"/>
              </w:rPr>
              <w:t xml:space="preserve"> აქტიურად გაგრძელდება მუშაობა სახელმწიფო საწარმოებიდან მომდინარე ფისკალური რისკების ანალიზის დახვეწაზე</w:t>
            </w:r>
            <w:r w:rsidR="00FD2A9B">
              <w:rPr>
                <w:rFonts w:ascii="Sylfaen" w:hAnsi="Sylfaen" w:cstheme="minorHAnsi"/>
                <w:bCs/>
                <w:noProof/>
              </w:rPr>
              <w:t>.</w:t>
            </w:r>
          </w:p>
        </w:tc>
      </w:tr>
    </w:tbl>
    <w:p w:rsidR="000B509C" w:rsidRDefault="000B509C" w:rsidP="00A24521">
      <w:pPr>
        <w:tabs>
          <w:tab w:val="left" w:pos="0"/>
        </w:tabs>
        <w:spacing w:after="0" w:line="276" w:lineRule="auto"/>
        <w:jc w:val="both"/>
        <w:rPr>
          <w:rFonts w:ascii="Sylfaen" w:hAnsi="Sylfaen" w:cstheme="minorHAnsi"/>
          <w:bCs/>
          <w:noProof/>
        </w:rPr>
      </w:pPr>
    </w:p>
    <w:sectPr w:rsidR="000B509C" w:rsidSect="00336E24">
      <w:footerReference w:type="default" r:id="rId8"/>
      <w:pgSz w:w="15840" w:h="12240" w:orient="landscape"/>
      <w:pgMar w:top="81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538" w:rsidRDefault="00A42538" w:rsidP="00611267">
      <w:pPr>
        <w:spacing w:after="0" w:line="240" w:lineRule="auto"/>
      </w:pPr>
      <w:r>
        <w:separator/>
      </w:r>
    </w:p>
  </w:endnote>
  <w:endnote w:type="continuationSeparator" w:id="0">
    <w:p w:rsidR="00A42538" w:rsidRDefault="00A42538" w:rsidP="0061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302646994"/>
      <w:docPartObj>
        <w:docPartGallery w:val="Page Numbers (Bottom of Page)"/>
        <w:docPartUnique/>
      </w:docPartObj>
    </w:sdtPr>
    <w:sdtEndPr>
      <w:rPr>
        <w:noProof/>
      </w:rPr>
    </w:sdtEndPr>
    <w:sdtContent>
      <w:p w:rsidR="00336E24" w:rsidRPr="00B377D7" w:rsidRDefault="00336E24">
        <w:pPr>
          <w:pStyle w:val="Footer"/>
          <w:jc w:val="right"/>
          <w:rPr>
            <w:sz w:val="20"/>
          </w:rPr>
        </w:pPr>
        <w:r w:rsidRPr="00B377D7">
          <w:rPr>
            <w:sz w:val="20"/>
          </w:rPr>
          <w:fldChar w:fldCharType="begin"/>
        </w:r>
        <w:r w:rsidRPr="00B377D7">
          <w:rPr>
            <w:sz w:val="20"/>
          </w:rPr>
          <w:instrText xml:space="preserve"> PAGE   \* MERGEFORMAT </w:instrText>
        </w:r>
        <w:r w:rsidRPr="00B377D7">
          <w:rPr>
            <w:sz w:val="20"/>
          </w:rPr>
          <w:fldChar w:fldCharType="separate"/>
        </w:r>
        <w:r w:rsidR="00AC4598">
          <w:rPr>
            <w:noProof/>
            <w:sz w:val="20"/>
          </w:rPr>
          <w:t>5</w:t>
        </w:r>
        <w:r w:rsidRPr="00B377D7">
          <w:rPr>
            <w:noProof/>
            <w:sz w:val="20"/>
          </w:rPr>
          <w:fldChar w:fldCharType="end"/>
        </w:r>
      </w:p>
    </w:sdtContent>
  </w:sdt>
  <w:p w:rsidR="00336E24" w:rsidRPr="00336E24" w:rsidRDefault="00336E24">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538" w:rsidRDefault="00A42538" w:rsidP="00611267">
      <w:pPr>
        <w:spacing w:after="0" w:line="240" w:lineRule="auto"/>
      </w:pPr>
      <w:r>
        <w:separator/>
      </w:r>
    </w:p>
  </w:footnote>
  <w:footnote w:type="continuationSeparator" w:id="0">
    <w:p w:rsidR="00A42538" w:rsidRDefault="00A42538" w:rsidP="00611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41F"/>
    <w:multiLevelType w:val="hybridMultilevel"/>
    <w:tmpl w:val="54583B4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FBD537E"/>
    <w:multiLevelType w:val="hybridMultilevel"/>
    <w:tmpl w:val="B4AA85FA"/>
    <w:lvl w:ilvl="0" w:tplc="53EAB4CE">
      <w:start w:val="1"/>
      <w:numFmt w:val="decimal"/>
      <w:lvlText w:val="%1."/>
      <w:lvlJc w:val="left"/>
      <w:pPr>
        <w:ind w:left="99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CA"/>
    <w:rsid w:val="000041C3"/>
    <w:rsid w:val="00014C5A"/>
    <w:rsid w:val="000415AF"/>
    <w:rsid w:val="00052183"/>
    <w:rsid w:val="00071E9B"/>
    <w:rsid w:val="000745E0"/>
    <w:rsid w:val="00081F36"/>
    <w:rsid w:val="0009602F"/>
    <w:rsid w:val="0009614F"/>
    <w:rsid w:val="00097667"/>
    <w:rsid w:val="000B509C"/>
    <w:rsid w:val="000E761E"/>
    <w:rsid w:val="00101436"/>
    <w:rsid w:val="00112157"/>
    <w:rsid w:val="001217BE"/>
    <w:rsid w:val="00121E18"/>
    <w:rsid w:val="001220C2"/>
    <w:rsid w:val="00136CD2"/>
    <w:rsid w:val="00137403"/>
    <w:rsid w:val="00154A2A"/>
    <w:rsid w:val="00162251"/>
    <w:rsid w:val="00186808"/>
    <w:rsid w:val="001A210E"/>
    <w:rsid w:val="001B04FD"/>
    <w:rsid w:val="001B6069"/>
    <w:rsid w:val="002019AE"/>
    <w:rsid w:val="00223474"/>
    <w:rsid w:val="00266E3F"/>
    <w:rsid w:val="00276189"/>
    <w:rsid w:val="002809C9"/>
    <w:rsid w:val="002877DA"/>
    <w:rsid w:val="002A2E48"/>
    <w:rsid w:val="002C3BE0"/>
    <w:rsid w:val="002D3596"/>
    <w:rsid w:val="00306ECF"/>
    <w:rsid w:val="00336E24"/>
    <w:rsid w:val="00351A4E"/>
    <w:rsid w:val="00351E87"/>
    <w:rsid w:val="00354D90"/>
    <w:rsid w:val="00363AE5"/>
    <w:rsid w:val="0036442B"/>
    <w:rsid w:val="003B02D2"/>
    <w:rsid w:val="003D08BF"/>
    <w:rsid w:val="003E05A6"/>
    <w:rsid w:val="00403631"/>
    <w:rsid w:val="00481EC2"/>
    <w:rsid w:val="00495113"/>
    <w:rsid w:val="004B2C52"/>
    <w:rsid w:val="004E533C"/>
    <w:rsid w:val="00525448"/>
    <w:rsid w:val="00570817"/>
    <w:rsid w:val="00586E8B"/>
    <w:rsid w:val="00593DEE"/>
    <w:rsid w:val="005A489C"/>
    <w:rsid w:val="005D556B"/>
    <w:rsid w:val="005D70CF"/>
    <w:rsid w:val="005E61F9"/>
    <w:rsid w:val="00611267"/>
    <w:rsid w:val="00611DC5"/>
    <w:rsid w:val="00624652"/>
    <w:rsid w:val="006443DE"/>
    <w:rsid w:val="00644D87"/>
    <w:rsid w:val="00652C44"/>
    <w:rsid w:val="00673579"/>
    <w:rsid w:val="00673A77"/>
    <w:rsid w:val="006767E3"/>
    <w:rsid w:val="00683391"/>
    <w:rsid w:val="00683C42"/>
    <w:rsid w:val="006E03CA"/>
    <w:rsid w:val="00703AB2"/>
    <w:rsid w:val="00726434"/>
    <w:rsid w:val="00784197"/>
    <w:rsid w:val="00793379"/>
    <w:rsid w:val="007A4B69"/>
    <w:rsid w:val="007E71FE"/>
    <w:rsid w:val="00806ACD"/>
    <w:rsid w:val="00807BBE"/>
    <w:rsid w:val="00814011"/>
    <w:rsid w:val="00814F1E"/>
    <w:rsid w:val="0083273A"/>
    <w:rsid w:val="00847443"/>
    <w:rsid w:val="008A7186"/>
    <w:rsid w:val="008B3D11"/>
    <w:rsid w:val="008C4765"/>
    <w:rsid w:val="008D317F"/>
    <w:rsid w:val="00903068"/>
    <w:rsid w:val="00933B3A"/>
    <w:rsid w:val="00947DBA"/>
    <w:rsid w:val="00952163"/>
    <w:rsid w:val="00962707"/>
    <w:rsid w:val="00963C4E"/>
    <w:rsid w:val="00970B11"/>
    <w:rsid w:val="009A414B"/>
    <w:rsid w:val="009B6A18"/>
    <w:rsid w:val="009C7A57"/>
    <w:rsid w:val="009D3FF6"/>
    <w:rsid w:val="009F73E8"/>
    <w:rsid w:val="00A1327C"/>
    <w:rsid w:val="00A2386A"/>
    <w:rsid w:val="00A24521"/>
    <w:rsid w:val="00A33267"/>
    <w:rsid w:val="00A413E6"/>
    <w:rsid w:val="00A42538"/>
    <w:rsid w:val="00A50A8A"/>
    <w:rsid w:val="00A56CA0"/>
    <w:rsid w:val="00A6313A"/>
    <w:rsid w:val="00A822B0"/>
    <w:rsid w:val="00AA2172"/>
    <w:rsid w:val="00AB62D0"/>
    <w:rsid w:val="00AC4598"/>
    <w:rsid w:val="00AE0A03"/>
    <w:rsid w:val="00AF7BC4"/>
    <w:rsid w:val="00B075EB"/>
    <w:rsid w:val="00B377D7"/>
    <w:rsid w:val="00B42B02"/>
    <w:rsid w:val="00B5347A"/>
    <w:rsid w:val="00B6740E"/>
    <w:rsid w:val="00B81507"/>
    <w:rsid w:val="00B93074"/>
    <w:rsid w:val="00C11975"/>
    <w:rsid w:val="00C53E9E"/>
    <w:rsid w:val="00C620E8"/>
    <w:rsid w:val="00C64D86"/>
    <w:rsid w:val="00CA548A"/>
    <w:rsid w:val="00CD1D87"/>
    <w:rsid w:val="00CD437C"/>
    <w:rsid w:val="00CE1931"/>
    <w:rsid w:val="00CE28C9"/>
    <w:rsid w:val="00CF4C4F"/>
    <w:rsid w:val="00CF6B48"/>
    <w:rsid w:val="00CF7F1F"/>
    <w:rsid w:val="00D24E2C"/>
    <w:rsid w:val="00D25C37"/>
    <w:rsid w:val="00D7655F"/>
    <w:rsid w:val="00D83CAE"/>
    <w:rsid w:val="00DB6FAB"/>
    <w:rsid w:val="00DD6099"/>
    <w:rsid w:val="00DE2F3B"/>
    <w:rsid w:val="00DE6FDD"/>
    <w:rsid w:val="00E038CB"/>
    <w:rsid w:val="00E27B6D"/>
    <w:rsid w:val="00E431CF"/>
    <w:rsid w:val="00E44C4A"/>
    <w:rsid w:val="00E51040"/>
    <w:rsid w:val="00E61A31"/>
    <w:rsid w:val="00E769BF"/>
    <w:rsid w:val="00E93E73"/>
    <w:rsid w:val="00EB6F46"/>
    <w:rsid w:val="00ED0CD9"/>
    <w:rsid w:val="00ED173B"/>
    <w:rsid w:val="00F14744"/>
    <w:rsid w:val="00F22BC2"/>
    <w:rsid w:val="00F54EFB"/>
    <w:rsid w:val="00F9293F"/>
    <w:rsid w:val="00FA24EB"/>
    <w:rsid w:val="00FA7E90"/>
    <w:rsid w:val="00FB6E17"/>
    <w:rsid w:val="00FC55E6"/>
    <w:rsid w:val="00FC6964"/>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157D"/>
  <w15:chartTrackingRefBased/>
  <w15:docId w15:val="{41185514-FBB2-42A1-8ACA-369EF6C2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Bullet1"/>
    <w:basedOn w:val="Normal"/>
    <w:link w:val="ListParagraphChar"/>
    <w:uiPriority w:val="34"/>
    <w:qFormat/>
    <w:rsid w:val="00611267"/>
    <w:pPr>
      <w:spacing w:after="200" w:line="276" w:lineRule="auto"/>
      <w:ind w:left="720"/>
      <w:contextualSpacing/>
    </w:pPr>
    <w:rPr>
      <w:rFonts w:eastAsiaTheme="minorEastAsia"/>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
    <w:link w:val="ListParagraph"/>
    <w:uiPriority w:val="34"/>
    <w:qFormat/>
    <w:locked/>
    <w:rsid w:val="00611267"/>
    <w:rPr>
      <w:rFonts w:eastAsiaTheme="minorEastAsia"/>
    </w:rPr>
  </w:style>
  <w:style w:type="paragraph" w:styleId="FootnoteText">
    <w:name w:val="footnote text"/>
    <w:basedOn w:val="Normal"/>
    <w:link w:val="FootnoteTextChar"/>
    <w:uiPriority w:val="99"/>
    <w:semiHidden/>
    <w:unhideWhenUsed/>
    <w:rsid w:val="006112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267"/>
    <w:rPr>
      <w:sz w:val="20"/>
      <w:szCs w:val="20"/>
    </w:rPr>
  </w:style>
  <w:style w:type="character" w:styleId="FootnoteReference">
    <w:name w:val="footnote reference"/>
    <w:basedOn w:val="DefaultParagraphFont"/>
    <w:uiPriority w:val="99"/>
    <w:semiHidden/>
    <w:unhideWhenUsed/>
    <w:rsid w:val="00611267"/>
    <w:rPr>
      <w:vertAlign w:val="superscript"/>
    </w:rPr>
  </w:style>
  <w:style w:type="character" w:styleId="Hyperlink">
    <w:name w:val="Hyperlink"/>
    <w:basedOn w:val="DefaultParagraphFont"/>
    <w:uiPriority w:val="99"/>
    <w:semiHidden/>
    <w:unhideWhenUsed/>
    <w:rsid w:val="00336E24"/>
    <w:rPr>
      <w:color w:val="0000FF"/>
      <w:u w:val="single"/>
    </w:rPr>
  </w:style>
  <w:style w:type="paragraph" w:styleId="Header">
    <w:name w:val="header"/>
    <w:basedOn w:val="Normal"/>
    <w:link w:val="HeaderChar"/>
    <w:uiPriority w:val="99"/>
    <w:unhideWhenUsed/>
    <w:rsid w:val="00336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E24"/>
  </w:style>
  <w:style w:type="paragraph" w:styleId="Footer">
    <w:name w:val="footer"/>
    <w:basedOn w:val="Normal"/>
    <w:link w:val="FooterChar"/>
    <w:uiPriority w:val="99"/>
    <w:unhideWhenUsed/>
    <w:rsid w:val="00336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E24"/>
  </w:style>
  <w:style w:type="paragraph" w:styleId="BalloonText">
    <w:name w:val="Balloon Text"/>
    <w:basedOn w:val="Normal"/>
    <w:link w:val="BalloonTextChar"/>
    <w:uiPriority w:val="99"/>
    <w:semiHidden/>
    <w:unhideWhenUsed/>
    <w:rsid w:val="00336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E24"/>
    <w:rPr>
      <w:rFonts w:ascii="Segoe UI" w:hAnsi="Segoe UI" w:cs="Segoe UI"/>
      <w:sz w:val="18"/>
      <w:szCs w:val="18"/>
    </w:rPr>
  </w:style>
  <w:style w:type="paragraph" w:customStyle="1" w:styleId="Normal0">
    <w:name w:val="[Normal]"/>
    <w:uiPriority w:val="99"/>
    <w:rsid w:val="00F14744"/>
    <w:pPr>
      <w:autoSpaceDE w:val="0"/>
      <w:autoSpaceDN w:val="0"/>
      <w:adjustRightInd w:val="0"/>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95867-5340-4656-9098-84C42F92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Natia Gulua</cp:lastModifiedBy>
  <cp:revision>3</cp:revision>
  <cp:lastPrinted>2022-11-02T11:44:00Z</cp:lastPrinted>
  <dcterms:created xsi:type="dcterms:W3CDTF">2023-11-24T17:03:00Z</dcterms:created>
  <dcterms:modified xsi:type="dcterms:W3CDTF">2023-11-27T06:55:00Z</dcterms:modified>
</cp:coreProperties>
</file>